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40"/>
        <w:rPr>
          <w:rFonts w:ascii="Arial" w:hAnsi="Arial" w:cs="Arial"/>
        </w:rPr>
      </w:pPr>
      <w:r>
        <w:rPr>
          <w:rFonts w:cs="Arial" w:ascii="Arial" w:hAnsi="Arial"/>
        </w:rPr>
        <w:t xml:space="preserve">Theodore Zacharia </w:t>
      </w:r>
    </w:p>
    <w:p>
      <w:pPr>
        <w:pStyle w:val="Heading2"/>
        <w:rPr>
          <w:rFonts w:ascii="Arial" w:hAnsi="Arial" w:cs="Arial"/>
          <w:sz w:val="36"/>
          <w:szCs w:val="36"/>
        </w:rPr>
      </w:pPr>
      <w:r>
        <w:rPr>
          <w:rFonts w:cs="Arial" w:ascii="Arial" w:hAnsi="Arial"/>
          <w:sz w:val="36"/>
          <w:szCs w:val="36"/>
        </w:rPr>
        <w:t>Information and Performance Specialist</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bCs/>
        </w:rPr>
        <w:t>Mobile:</w:t>
      </w:r>
      <w:r>
        <w:rPr>
          <w:rFonts w:cs="Arial" w:ascii="Arial" w:hAnsi="Arial"/>
        </w:rPr>
        <w:t xml:space="preserve"> 07790 494193</w:t>
        <w:tab/>
      </w:r>
      <w:r>
        <w:rPr>
          <w:rFonts w:cs="Arial" w:ascii="Arial" w:hAnsi="Arial"/>
          <w:b/>
          <w:bCs/>
        </w:rPr>
        <w:t xml:space="preserve">Email: </w:t>
      </w:r>
      <w:hyperlink r:id="rId2">
        <w:r>
          <w:rPr>
            <w:rStyle w:val="InternetLink"/>
            <w:rFonts w:cs="Arial" w:ascii="Arial" w:hAnsi="Arial"/>
          </w:rPr>
          <w:t>theodore.zacharia@btinternet.com</w:t>
        </w:r>
      </w:hyperlink>
      <w:r>
        <w:rPr>
          <w:rFonts w:cs="Arial" w:ascii="Arial" w:hAnsi="Arial"/>
        </w:rPr>
        <w:t xml:space="preserve"> </w:t>
        <w:tab/>
        <w:tab/>
      </w:r>
      <w:r>
        <w:rPr>
          <w:rFonts w:cs="Arial" w:ascii="Arial" w:hAnsi="Arial"/>
          <w:b/>
          <w:bCs/>
        </w:rPr>
        <w:t xml:space="preserve">Web: </w:t>
      </w:r>
      <w:r>
        <w:rPr>
          <w:rFonts w:cs="Arial" w:ascii="Arial" w:hAnsi="Arial"/>
        </w:rPr>
        <w:t xml:space="preserve">With detailed </w:t>
      </w:r>
      <w:hyperlink r:id="rId3">
        <w:r>
          <w:rPr>
            <w:rStyle w:val="InternetLink"/>
            <w:rFonts w:cs="Arial" w:ascii="Arial" w:hAnsi="Arial"/>
          </w:rPr>
          <w:t>CV</w:t>
        </w:r>
      </w:hyperlink>
    </w:p>
    <w:p>
      <w:pPr>
        <w:pStyle w:val="Normal"/>
        <w:spacing w:lineRule="atLeast" w:line="100" w:before="0" w:after="0"/>
        <w:rPr>
          <w:rFonts w:ascii="Arial" w:hAnsi="Arial" w:cs="Arial"/>
        </w:rPr>
      </w:pPr>
      <w:r>
        <w:rPr>
          <w:rFonts w:cs="Arial" w:ascii="Arial" w:hAnsi="Arial"/>
        </w:rPr>
      </w:r>
    </w:p>
    <w:p>
      <w:pPr>
        <w:pStyle w:val="Heading2"/>
        <w:rPr>
          <w:rFonts w:ascii="Arial" w:hAnsi="Arial" w:cs="Arial"/>
          <w:b/>
          <w:b/>
          <w:sz w:val="28"/>
          <w:szCs w:val="28"/>
        </w:rPr>
      </w:pPr>
      <w:r>
        <w:rPr>
          <w:rFonts w:cs="Arial" w:ascii="Arial" w:hAnsi="Arial"/>
          <w:b/>
          <w:sz w:val="28"/>
          <w:szCs w:val="28"/>
        </w:rPr>
        <w:t>Achievements:</w:t>
      </w:r>
    </w:p>
    <w:p>
      <w:pPr>
        <w:pStyle w:val="Normal"/>
        <w:spacing w:lineRule="auto" w:line="276"/>
        <w:rPr>
          <w:rFonts w:ascii="Arial" w:hAnsi="Arial" w:cs="Arial"/>
        </w:rPr>
      </w:pPr>
      <w:r>
        <w:rPr>
          <w:rFonts w:cs="Arial" w:ascii="Arial" w:hAnsi="Arial"/>
        </w:rPr>
        <w:t>I have over 36 years experience leading on major IT projects for large multinationals and government organisations.  At Ten10 I have been on the HomeOffice account for 10 years as the lead performance engineer for Atlas Immigration portfolio.</w:t>
      </w:r>
    </w:p>
    <w:p>
      <w:pPr>
        <w:pStyle w:val="Normal"/>
        <w:spacing w:lineRule="auto" w:line="276"/>
        <w:rPr>
          <w:rFonts w:ascii="Arial" w:hAnsi="Arial" w:cs="Arial"/>
        </w:rPr>
      </w:pPr>
      <w:r>
        <w:rPr>
          <w:rFonts w:cs="Arial" w:ascii="Arial" w:hAnsi="Arial"/>
        </w:rPr>
        <w:t>Previously at HP I was the technical lead for the performance engineering team for the MoJ's Prison Service system (C-NOMIS), which over four years has maintained a 99.99% availability and performance rating.  At EDS, as technical lead, I successfully migrated all 133 public sector prisons for the MoJ to a new IT system on time and on budget.  At the MoD I delivered the application hosting architecture, which passed JRM, and was approved within an ambitious time-frame of six months.  For BACOB Bank in Belgium (now Dexia), I Ied a team that developed and delivered a new loan origination system to comply with new EU directives that gained excellent feedback from clients.  As an expert in my field I have a passion for technology solutions and best practice.</w:t>
      </w:r>
    </w:p>
    <w:p>
      <w:pPr>
        <w:pStyle w:val="Heading2"/>
        <w:rPr>
          <w:rFonts w:ascii="Arial" w:hAnsi="Arial" w:cs="Arial"/>
          <w:b/>
          <w:b/>
          <w:color w:val="4F81BD" w:themeColor="accent1"/>
          <w:sz w:val="28"/>
          <w:szCs w:val="28"/>
        </w:rPr>
      </w:pPr>
      <w:r>
        <w:rPr>
          <w:rFonts w:cs="Arial" w:ascii="Arial" w:hAnsi="Arial"/>
          <w:b/>
          <w:sz w:val="28"/>
          <w:szCs w:val="28"/>
        </w:rPr>
        <w:t xml:space="preserve">Certifications </w:t>
      </w:r>
      <w:r>
        <w:rPr>
          <w:rFonts w:cs="Arial" w:ascii="Arial" w:hAnsi="Arial"/>
          <w:b/>
          <w:color w:val="4F81BD" w:themeColor="accent1"/>
          <w:sz w:val="28"/>
          <w:szCs w:val="28"/>
        </w:rPr>
        <w:t>and Expertise:</w:t>
      </w:r>
    </w:p>
    <w:p>
      <w:pPr>
        <w:pStyle w:val="Normal"/>
        <w:numPr>
          <w:ilvl w:val="0"/>
          <w:numId w:val="2"/>
        </w:numPr>
        <w:spacing w:lineRule="auto" w:line="240" w:before="0" w:after="0"/>
        <w:rPr>
          <w:rFonts w:ascii="Arial" w:hAnsi="Arial" w:cs="Arial"/>
        </w:rPr>
      </w:pPr>
      <w:r>
        <w:rPr>
          <w:rFonts w:cs="Arial" w:ascii="Arial" w:hAnsi="Arial"/>
        </w:rPr>
        <w:t>Java Certified Professional Developer</w:t>
      </w:r>
    </w:p>
    <w:p>
      <w:pPr>
        <w:pStyle w:val="Normal"/>
        <w:numPr>
          <w:ilvl w:val="0"/>
          <w:numId w:val="2"/>
        </w:numPr>
        <w:spacing w:lineRule="auto" w:line="240" w:before="0" w:after="0"/>
        <w:rPr>
          <w:rFonts w:ascii="Arial" w:hAnsi="Arial" w:cs="Arial"/>
        </w:rPr>
      </w:pPr>
      <w:r>
        <w:rPr>
          <w:rFonts w:cs="Arial" w:ascii="Arial" w:hAnsi="Arial"/>
        </w:rPr>
        <w:t>ISTQB Foundation Certified – Certificate No. 13-CTFL-35234-UK</w:t>
      </w:r>
    </w:p>
    <w:p>
      <w:pPr>
        <w:pStyle w:val="Normal"/>
        <w:numPr>
          <w:ilvl w:val="0"/>
          <w:numId w:val="2"/>
        </w:numPr>
        <w:spacing w:lineRule="auto" w:line="240" w:before="0" w:after="0"/>
        <w:rPr>
          <w:rFonts w:ascii="Arial" w:hAnsi="Arial" w:cs="Arial"/>
        </w:rPr>
      </w:pPr>
      <w:r>
        <w:rPr>
          <w:rFonts w:cs="Arial" w:ascii="Arial" w:hAnsi="Arial"/>
        </w:rPr>
        <w:t>Security Clearance include: SC (Security Check, current),</w:t>
      </w:r>
      <w:r>
        <w:rPr>
          <w:rFonts w:eastAsia="Times New Roman" w:cs="Arial" w:ascii="Arial" w:hAnsi="Arial"/>
          <w:lang w:val="en-GB"/>
        </w:rPr>
        <w:t xml:space="preserve"> </w:t>
      </w:r>
      <w:r>
        <w:rPr>
          <w:rFonts w:cs="Arial" w:ascii="Arial" w:hAnsi="Arial"/>
          <w:lang w:val="en-GB"/>
        </w:rPr>
        <w:t>EBS (Enhanced Baseline Standard, formally BC(e)) &amp; CTC (Counter Terrorist Check), DBS check (current).</w:t>
      </w:r>
    </w:p>
    <w:p>
      <w:pPr>
        <w:pStyle w:val="Normal"/>
        <w:numPr>
          <w:ilvl w:val="0"/>
          <w:numId w:val="2"/>
        </w:numPr>
        <w:spacing w:lineRule="auto" w:line="240" w:before="0" w:after="0"/>
        <w:rPr>
          <w:rFonts w:ascii="Arial" w:hAnsi="Arial" w:cs="Arial"/>
        </w:rPr>
      </w:pPr>
      <w:r>
        <w:rPr>
          <w:rFonts w:cs="Arial" w:ascii="Arial" w:hAnsi="Arial"/>
        </w:rPr>
        <w:t>Technical Expertise: Unix (Solaris, HP-UX, AIX), Java, Perl, PHP, Unix shell script (various), Oracle RDBMS, SQL, PL/SQL, HTML, JavaScript, C &amp; C++, Visual C++, Visual Basic</w:t>
      </w:r>
    </w:p>
    <w:p>
      <w:pPr>
        <w:pStyle w:val="Normal"/>
        <w:numPr>
          <w:ilvl w:val="0"/>
          <w:numId w:val="2"/>
        </w:numPr>
        <w:spacing w:lineRule="auto" w:line="240" w:before="0" w:after="0"/>
        <w:rPr>
          <w:rFonts w:ascii="Arial" w:hAnsi="Arial" w:cs="Arial"/>
        </w:rPr>
      </w:pPr>
      <w:r>
        <w:rPr>
          <w:rFonts w:cs="Arial" w:ascii="Arial" w:hAnsi="Arial"/>
        </w:rPr>
        <w:t>Bachelor of Science (Honors) degree in Physics, University College London, 1985</w:t>
      </w:r>
    </w:p>
    <w:p>
      <w:pPr>
        <w:pStyle w:val="Normal"/>
        <w:spacing w:lineRule="auto" w:line="240" w:before="0" w:after="0"/>
        <w:ind w:left="720" w:hanging="0"/>
        <w:rPr>
          <w:rFonts w:ascii="Arial" w:hAnsi="Arial" w:cs="Arial"/>
        </w:rPr>
      </w:pPr>
      <w:r>
        <w:rPr>
          <w:rFonts w:cs="Arial" w:ascii="Arial" w:hAnsi="Arial"/>
        </w:rPr>
      </w:r>
    </w:p>
    <w:p>
      <w:pPr>
        <w:pStyle w:val="Heading2"/>
        <w:rPr>
          <w:rFonts w:ascii="Arial" w:hAnsi="Arial" w:cs="Arial"/>
          <w:b/>
          <w:b/>
          <w:sz w:val="28"/>
          <w:szCs w:val="28"/>
        </w:rPr>
      </w:pPr>
      <w:r>
        <w:rPr>
          <w:rFonts w:cs="Arial" w:ascii="Arial" w:hAnsi="Arial"/>
          <w:b/>
          <w:sz w:val="28"/>
          <w:szCs w:val="28"/>
        </w:rPr>
        <w:t>Project Experience:</w:t>
      </w:r>
    </w:p>
    <w:p>
      <w:pPr>
        <w:pStyle w:val="Heading2"/>
        <w:rPr>
          <w:rFonts w:ascii="Arial" w:hAnsi="Arial" w:cs="Arial"/>
          <w:b/>
          <w:b/>
          <w:sz w:val="28"/>
          <w:szCs w:val="28"/>
        </w:rPr>
      </w:pPr>
      <w:r>
        <w:rPr>
          <w:rFonts w:cs="Arial" w:ascii="Arial" w:hAnsi="Arial"/>
          <w:b/>
          <w:sz w:val="28"/>
          <w:szCs w:val="28"/>
        </w:rPr>
      </w:r>
    </w:p>
    <w:p>
      <w:pPr>
        <w:pStyle w:val="TextBody"/>
        <w:rPr>
          <w:rFonts w:ascii="Arial" w:hAnsi="Arial" w:cs="Arial"/>
          <w:b/>
          <w:b/>
          <w:sz w:val="28"/>
          <w:szCs w:val="28"/>
        </w:rPr>
      </w:pPr>
      <w:r>
        <w:rPr>
          <w:rFonts w:cs="Arial" w:ascii="Arial" w:hAnsi="Arial"/>
          <w:b/>
          <w:sz w:val="28"/>
          <w:szCs w:val="28"/>
        </w:rPr>
      </w:r>
    </w:p>
    <w:tbl>
      <w:tblPr>
        <w:tblW w:w="10548" w:type="dxa"/>
        <w:jc w:val="left"/>
        <w:tblInd w:w="0" w:type="dxa"/>
        <w:tblCellMar>
          <w:top w:w="0" w:type="dxa"/>
          <w:left w:w="108" w:type="dxa"/>
          <w:bottom w:w="0" w:type="dxa"/>
          <w:right w:w="108" w:type="dxa"/>
        </w:tblCellMar>
        <w:tblLook w:val="0000" w:noHBand="0" w:noVBand="0" w:firstColumn="0" w:lastRow="0" w:lastColumn="0" w:firstRow="0"/>
      </w:tblPr>
      <w:tblGrid>
        <w:gridCol w:w="1807"/>
        <w:gridCol w:w="8740"/>
      </w:tblGrid>
      <w:tr>
        <w:trPr/>
        <w:tc>
          <w:tcPr>
            <w:tcW w:w="10547" w:type="dxa"/>
            <w:gridSpan w:val="2"/>
            <w:tcBorders>
              <w:top w:val="single" w:sz="4" w:space="0" w:color="000000"/>
              <w:left w:val="single" w:sz="4" w:space="0" w:color="000000"/>
              <w:bottom w:val="single" w:sz="6" w:space="0" w:color="000000"/>
              <w:right w:val="single" w:sz="4" w:space="0" w:color="000000"/>
            </w:tcBorders>
            <w:shd w:color="auto" w:fill="B8CCE4" w:themeFill="accent1" w:themeFillTint="66" w:val="clear"/>
          </w:tcPr>
          <w:p>
            <w:pPr>
              <w:pStyle w:val="Normal"/>
              <w:spacing w:before="0" w:after="0"/>
              <w:rPr>
                <w:rFonts w:ascii="Arial" w:hAnsi="Arial" w:cs="Arial"/>
                <w:b/>
                <w:b/>
              </w:rPr>
            </w:pPr>
            <w:r>
              <w:rPr>
                <w:rFonts w:cs="Arial" w:ascii="Arial" w:hAnsi="Arial"/>
                <w:b/>
              </w:rPr>
              <w:t>Technical Team Lead, Performance Engineering – SC &amp; DBS cleared</w:t>
            </w:r>
          </w:p>
          <w:p>
            <w:pPr>
              <w:pStyle w:val="Normal"/>
              <w:spacing w:before="0" w:after="0"/>
              <w:rPr>
                <w:rFonts w:ascii="Arial" w:hAnsi="Arial" w:cs="Arial"/>
              </w:rPr>
            </w:pPr>
            <w:r>
              <w:rPr>
                <w:rFonts w:cs="Arial" w:ascii="Arial" w:hAnsi="Arial"/>
                <w:color w:val="000000"/>
                <w:shd w:fill="B8CCE4" w:val="clear"/>
              </w:rPr>
              <w:t xml:space="preserve">MBTP: HomeOffice – September 2014 to </w:t>
            </w:r>
            <w:r>
              <w:rPr>
                <w:rFonts w:eastAsia="DejaVu Sans" w:cs="Arial" w:ascii="Arial" w:hAnsi="Arial"/>
                <w:color w:val="000000"/>
                <w:kern w:val="0"/>
                <w:sz w:val="22"/>
                <w:szCs w:val="22"/>
                <w:shd w:fill="B8CCE4" w:val="clear"/>
                <w:lang w:val="en-US" w:eastAsia="en-US" w:bidi="ar-SA"/>
              </w:rPr>
              <w:t>Present</w:t>
            </w:r>
          </w:p>
        </w:tc>
      </w:tr>
      <w:tr>
        <w:trPr/>
        <w:tc>
          <w:tcPr>
            <w:tcW w:w="1807" w:type="dxa"/>
            <w:tcBorders>
              <w:top w:val="single" w:sz="6" w:space="0" w:color="000000"/>
              <w:left w:val="single" w:sz="4" w:space="0" w:color="000000"/>
              <w:bottom w:val="single" w:sz="6" w:space="0" w:color="000000"/>
              <w:right w:val="single" w:sz="6" w:space="0" w:color="000000"/>
            </w:tcBorders>
            <w:shd w:color="auto" w:fill="auto" w:val="clear"/>
          </w:tcPr>
          <w:p>
            <w:pPr>
              <w:pStyle w:val="Normal"/>
              <w:spacing w:before="0" w:after="160"/>
              <w:rPr>
                <w:rFonts w:ascii="Arial" w:hAnsi="Arial" w:cs="Arial"/>
              </w:rPr>
            </w:pPr>
            <w:r>
              <w:rPr>
                <w:rFonts w:cs="Arial" w:ascii="Arial" w:hAnsi="Arial"/>
              </w:rPr>
              <w:t>Project</w:t>
            </w:r>
          </w:p>
        </w:tc>
        <w:tc>
          <w:tcPr>
            <w:tcW w:w="8740" w:type="dxa"/>
            <w:tcBorders>
              <w:top w:val="single" w:sz="6" w:space="0" w:color="000000"/>
              <w:left w:val="single" w:sz="6" w:space="0" w:color="000000"/>
              <w:bottom w:val="single" w:sz="6" w:space="0" w:color="000000"/>
              <w:right w:val="single" w:sz="4" w:space="0" w:color="000000"/>
            </w:tcBorders>
            <w:shd w:color="auto" w:fill="auto" w:val="clear"/>
          </w:tcPr>
          <w:p>
            <w:pPr>
              <w:pStyle w:val="Normal"/>
              <w:spacing w:before="0" w:after="160"/>
              <w:rPr>
                <w:rFonts w:ascii="Arial" w:hAnsi="Arial" w:cs="Arial"/>
              </w:rPr>
            </w:pPr>
            <w:r>
              <w:rPr>
                <w:rFonts w:cs="Arial" w:ascii="Arial" w:hAnsi="Arial"/>
              </w:rPr>
              <w:t>HomeOffice, Migration and Borders Technology Portfolio (MBTP)</w:t>
            </w:r>
          </w:p>
        </w:tc>
      </w:tr>
      <w:tr>
        <w:trPr/>
        <w:tc>
          <w:tcPr>
            <w:tcW w:w="1807" w:type="dxa"/>
            <w:tcBorders>
              <w:top w:val="single" w:sz="6" w:space="0" w:color="000000"/>
              <w:left w:val="single" w:sz="4" w:space="0" w:color="000000"/>
              <w:bottom w:val="single" w:sz="6" w:space="0" w:color="000000"/>
              <w:right w:val="single" w:sz="6" w:space="0" w:color="000000"/>
            </w:tcBorders>
            <w:shd w:color="auto" w:fill="auto" w:val="clear"/>
          </w:tcPr>
          <w:p>
            <w:pPr>
              <w:pStyle w:val="Normal"/>
              <w:spacing w:before="0" w:after="160"/>
              <w:rPr>
                <w:rFonts w:ascii="Arial" w:hAnsi="Arial" w:cs="Arial"/>
              </w:rPr>
            </w:pPr>
            <w:r>
              <w:rPr>
                <w:rFonts w:cs="Arial" w:ascii="Arial" w:hAnsi="Arial"/>
              </w:rPr>
              <w:t>Responsibilities</w:t>
            </w:r>
          </w:p>
        </w:tc>
        <w:tc>
          <w:tcPr>
            <w:tcW w:w="8740" w:type="dxa"/>
            <w:tcBorders>
              <w:top w:val="single" w:sz="6" w:space="0" w:color="000000"/>
              <w:left w:val="single" w:sz="6" w:space="0" w:color="000000"/>
              <w:bottom w:val="single" w:sz="6" w:space="0" w:color="000000"/>
              <w:right w:val="single" w:sz="4" w:space="0" w:color="000000"/>
            </w:tcBorders>
            <w:shd w:color="auto" w:fill="auto" w:val="clear"/>
          </w:tcPr>
          <w:p>
            <w:pPr>
              <w:pStyle w:val="TableBullet"/>
              <w:numPr>
                <w:ilvl w:val="0"/>
                <w:numId w:val="1"/>
              </w:numPr>
              <w:spacing w:lineRule="auto" w:line="240" w:before="60" w:after="0"/>
              <w:ind w:left="312" w:hanging="312"/>
              <w:rPr>
                <w:rFonts w:ascii="Arial" w:hAnsi="Arial" w:cs="Arial"/>
                <w:sz w:val="22"/>
                <w:szCs w:val="22"/>
              </w:rPr>
            </w:pPr>
            <w:r>
              <w:rPr>
                <w:rFonts w:cs="Arial" w:ascii="Arial" w:hAnsi="Arial"/>
                <w:sz w:val="22"/>
                <w:szCs w:val="22"/>
              </w:rPr>
              <w:t>Led performance testing for the BICS (formerly IPT) programme, ensuring performance requirements were identified, planned, executed, and analyzed across highly agile and rapidly evolving projects.</w:t>
            </w:r>
          </w:p>
          <w:p>
            <w:pPr>
              <w:pStyle w:val="TableBullet"/>
              <w:numPr>
                <w:ilvl w:val="0"/>
                <w:numId w:val="1"/>
              </w:numPr>
              <w:spacing w:lineRule="auto" w:line="240" w:before="60" w:after="0"/>
              <w:ind w:left="312" w:hanging="312"/>
              <w:rPr>
                <w:rFonts w:ascii="Arial" w:hAnsi="Arial" w:cs="Arial"/>
                <w:sz w:val="22"/>
                <w:szCs w:val="22"/>
              </w:rPr>
            </w:pPr>
            <w:r>
              <w:rPr>
                <w:rFonts w:cs="Arial" w:ascii="Arial" w:hAnsi="Arial"/>
                <w:sz w:val="22"/>
                <w:szCs w:val="22"/>
              </w:rPr>
              <w:t>Collaborated with development, testing, and architecture teams to design test infrastructures, develop scripts, and analyze results using tools like Wireshark, Fiddler, and open-source testing frameworks.</w:t>
            </w:r>
          </w:p>
          <w:p>
            <w:pPr>
              <w:pStyle w:val="TableBullet"/>
              <w:numPr>
                <w:ilvl w:val="0"/>
                <w:numId w:val="1"/>
              </w:numPr>
              <w:spacing w:lineRule="auto" w:line="240" w:before="60" w:after="0"/>
              <w:ind w:left="312" w:hanging="312"/>
              <w:rPr>
                <w:rFonts w:ascii="Arial" w:hAnsi="Arial" w:cs="Arial"/>
                <w:sz w:val="22"/>
                <w:szCs w:val="22"/>
              </w:rPr>
            </w:pPr>
            <w:r>
              <w:rPr>
                <w:rFonts w:cs="Arial" w:ascii="Arial" w:hAnsi="Arial"/>
                <w:sz w:val="22"/>
                <w:szCs w:val="22"/>
              </w:rPr>
              <w:t>Working with business to identify critical business and related peak hour operations.</w:t>
            </w:r>
          </w:p>
        </w:tc>
      </w:tr>
      <w:tr>
        <w:trPr/>
        <w:tc>
          <w:tcPr>
            <w:tcW w:w="1807" w:type="dxa"/>
            <w:tcBorders>
              <w:top w:val="single" w:sz="6" w:space="0" w:color="000000"/>
              <w:left w:val="single" w:sz="4" w:space="0" w:color="000000"/>
              <w:bottom w:val="single" w:sz="6" w:space="0" w:color="000000"/>
              <w:right w:val="single" w:sz="6" w:space="0" w:color="000000"/>
            </w:tcBorders>
            <w:shd w:color="auto" w:fill="auto" w:val="clear"/>
          </w:tcPr>
          <w:p>
            <w:pPr>
              <w:pStyle w:val="Normal"/>
              <w:spacing w:before="0" w:after="160"/>
              <w:rPr>
                <w:rFonts w:ascii="Arial" w:hAnsi="Arial" w:cs="Arial"/>
              </w:rPr>
            </w:pPr>
            <w:r>
              <w:rPr>
                <w:rFonts w:cs="Arial" w:ascii="Arial" w:hAnsi="Arial"/>
              </w:rPr>
              <w:t>Achievements</w:t>
            </w:r>
          </w:p>
        </w:tc>
        <w:tc>
          <w:tcPr>
            <w:tcW w:w="8740" w:type="dxa"/>
            <w:tcBorders>
              <w:top w:val="single" w:sz="6" w:space="0" w:color="000000"/>
              <w:left w:val="single" w:sz="6" w:space="0" w:color="000000"/>
              <w:bottom w:val="single" w:sz="6" w:space="0" w:color="000000"/>
              <w:right w:val="single" w:sz="4" w:space="0" w:color="000000"/>
            </w:tcBorders>
            <w:shd w:color="auto" w:fill="auto" w:val="clear"/>
          </w:tcPr>
          <w:p>
            <w:pPr>
              <w:pStyle w:val="TableBullet"/>
              <w:numPr>
                <w:ilvl w:val="0"/>
                <w:numId w:val="0"/>
              </w:numPr>
              <w:spacing w:before="0" w:after="0"/>
              <w:ind w:left="60" w:hanging="0"/>
              <w:jc w:val="both"/>
              <w:rPr>
                <w:rFonts w:ascii="Arial" w:hAnsi="Arial" w:cs="Arial"/>
                <w:sz w:val="22"/>
                <w:szCs w:val="22"/>
              </w:rPr>
            </w:pPr>
            <w:r>
              <w:rPr>
                <w:rFonts w:cs="Arial" w:ascii="Arial" w:hAnsi="Arial"/>
                <w:sz w:val="22"/>
                <w:szCs w:val="22"/>
              </w:rPr>
              <w:t>I designed test scripts and infrastructure using JMeter, Gatling, Locust and later NeoLoad and Playwright, supported by Java, Python, and shell scripting.</w:t>
            </w:r>
          </w:p>
          <w:p>
            <w:pPr>
              <w:pStyle w:val="TableBullet"/>
              <w:numPr>
                <w:ilvl w:val="0"/>
                <w:numId w:val="0"/>
              </w:numPr>
              <w:spacing w:before="0" w:after="0"/>
              <w:ind w:left="60" w:hanging="0"/>
              <w:jc w:val="both"/>
              <w:rPr>
                <w:rFonts w:ascii="Arial" w:hAnsi="Arial" w:cs="Arial"/>
                <w:sz w:val="22"/>
                <w:szCs w:val="22"/>
              </w:rPr>
            </w:pPr>
            <w:r>
              <w:rPr>
                <w:rFonts w:cs="Arial" w:ascii="Arial" w:hAnsi="Arial"/>
                <w:sz w:val="22"/>
                <w:szCs w:val="22"/>
              </w:rPr>
            </w:r>
          </w:p>
          <w:p>
            <w:pPr>
              <w:pStyle w:val="TableBullet"/>
              <w:numPr>
                <w:ilvl w:val="0"/>
                <w:numId w:val="0"/>
              </w:numPr>
              <w:spacing w:before="0" w:after="0"/>
              <w:ind w:left="60" w:hanging="0"/>
              <w:jc w:val="both"/>
              <w:rPr>
                <w:rFonts w:ascii="Arial" w:hAnsi="Arial" w:cs="Arial"/>
                <w:sz w:val="22"/>
                <w:szCs w:val="22"/>
              </w:rPr>
            </w:pPr>
            <w:r>
              <w:rPr>
                <w:rFonts w:cs="Arial" w:ascii="Arial" w:hAnsi="Arial"/>
                <w:sz w:val="22"/>
                <w:szCs w:val="22"/>
              </w:rPr>
              <w:t>Managed test execution with Jenkins Pipelines and Taurus, integrating advanced control and reporting capabilities.</w:t>
            </w:r>
          </w:p>
          <w:p>
            <w:pPr>
              <w:pStyle w:val="TableBullet"/>
              <w:numPr>
                <w:ilvl w:val="0"/>
                <w:numId w:val="0"/>
              </w:numPr>
              <w:spacing w:before="0" w:after="0"/>
              <w:ind w:left="60" w:hanging="0"/>
              <w:jc w:val="both"/>
              <w:rPr>
                <w:rFonts w:ascii="Arial" w:hAnsi="Arial" w:cs="Arial"/>
                <w:sz w:val="22"/>
                <w:szCs w:val="22"/>
              </w:rPr>
            </w:pPr>
            <w:r>
              <w:rPr>
                <w:rFonts w:cs="Arial" w:ascii="Arial" w:hAnsi="Arial"/>
                <w:sz w:val="22"/>
                <w:szCs w:val="22"/>
              </w:rPr>
            </w:r>
          </w:p>
          <w:p>
            <w:pPr>
              <w:pStyle w:val="TableBullet"/>
              <w:numPr>
                <w:ilvl w:val="0"/>
                <w:numId w:val="0"/>
              </w:numPr>
              <w:spacing w:before="0" w:after="0"/>
              <w:ind w:left="60" w:hanging="0"/>
              <w:jc w:val="both"/>
              <w:rPr>
                <w:rFonts w:ascii="Arial" w:hAnsi="Arial" w:cs="Arial"/>
                <w:sz w:val="22"/>
                <w:szCs w:val="22"/>
              </w:rPr>
            </w:pPr>
            <w:r>
              <w:rPr>
                <w:rFonts w:cs="Arial" w:ascii="Arial" w:hAnsi="Arial"/>
                <w:sz w:val="22"/>
                <w:szCs w:val="22"/>
              </w:rPr>
              <w:t>Conducted in-depth performance analysis using Dynatrace, complemented by Sysdig, Kibana, and Zabbix monitoring tools.</w:t>
            </w:r>
          </w:p>
          <w:p>
            <w:pPr>
              <w:pStyle w:val="TableBullet"/>
              <w:numPr>
                <w:ilvl w:val="0"/>
                <w:numId w:val="0"/>
              </w:numPr>
              <w:spacing w:before="0" w:after="0"/>
              <w:ind w:left="60" w:hanging="0"/>
              <w:jc w:val="both"/>
              <w:rPr>
                <w:rFonts w:ascii="Arial" w:hAnsi="Arial" w:cs="Arial"/>
                <w:sz w:val="22"/>
                <w:szCs w:val="22"/>
              </w:rPr>
            </w:pPr>
            <w:r>
              <w:rPr>
                <w:rFonts w:cs="Arial" w:ascii="Arial" w:hAnsi="Arial"/>
                <w:sz w:val="22"/>
                <w:szCs w:val="22"/>
              </w:rPr>
            </w:r>
          </w:p>
          <w:p>
            <w:pPr>
              <w:pStyle w:val="TableBullet"/>
              <w:numPr>
                <w:ilvl w:val="0"/>
                <w:numId w:val="0"/>
              </w:numPr>
              <w:spacing w:before="0" w:after="0"/>
              <w:ind w:left="60" w:hanging="0"/>
              <w:jc w:val="both"/>
              <w:rPr>
                <w:rFonts w:ascii="Arial" w:hAnsi="Arial" w:cs="Arial"/>
                <w:sz w:val="22"/>
                <w:szCs w:val="22"/>
              </w:rPr>
            </w:pPr>
            <w:r>
              <w:rPr>
                <w:rFonts w:cs="Arial" w:ascii="Arial" w:hAnsi="Arial"/>
                <w:sz w:val="22"/>
                <w:szCs w:val="22"/>
              </w:rPr>
              <w:t>Migrated from UKCloud to AWS, adopting Kubernetes and Docker to enhance container and job management, contributing to IPT's 2017 award for Best Use of Cloud Services.</w:t>
            </w:r>
          </w:p>
          <w:p>
            <w:pPr>
              <w:pStyle w:val="TableBullet"/>
              <w:numPr>
                <w:ilvl w:val="0"/>
                <w:numId w:val="0"/>
              </w:numPr>
              <w:spacing w:before="0" w:after="0"/>
              <w:ind w:left="60" w:hanging="0"/>
              <w:jc w:val="both"/>
              <w:rPr>
                <w:rFonts w:ascii="Arial" w:hAnsi="Arial" w:cs="Arial"/>
                <w:sz w:val="22"/>
                <w:szCs w:val="22"/>
              </w:rPr>
            </w:pPr>
            <w:r>
              <w:rPr>
                <w:rFonts w:cs="Arial" w:ascii="Arial" w:hAnsi="Arial"/>
                <w:sz w:val="22"/>
                <w:szCs w:val="22"/>
              </w:rPr>
            </w:r>
          </w:p>
          <w:p>
            <w:pPr>
              <w:pStyle w:val="TableBullet"/>
              <w:numPr>
                <w:ilvl w:val="0"/>
                <w:numId w:val="0"/>
              </w:numPr>
              <w:spacing w:before="0" w:after="0"/>
              <w:ind w:left="60" w:hanging="0"/>
              <w:jc w:val="both"/>
              <w:rPr>
                <w:rFonts w:ascii="Arial" w:hAnsi="Arial" w:cs="Arial"/>
                <w:sz w:val="22"/>
                <w:szCs w:val="22"/>
              </w:rPr>
            </w:pPr>
            <w:r>
              <w:rPr>
                <w:rFonts w:cs="Arial" w:ascii="Arial" w:hAnsi="Arial"/>
                <w:sz w:val="22"/>
                <w:szCs w:val="22"/>
              </w:rPr>
              <w:t>Facilitated team collaboration across multiple locations via Jira, Confluence, and Slack, adapting to significant business changes post-Brexit. Successfully supported the EU Exit project and modernized systems amidst tight delivery schedules and high workloads.</w:t>
            </w:r>
          </w:p>
        </w:tc>
      </w:tr>
      <w:tr>
        <w:trPr/>
        <w:tc>
          <w:tcPr>
            <w:tcW w:w="10547" w:type="dxa"/>
            <w:gridSpan w:val="2"/>
            <w:tcBorders>
              <w:top w:val="single" w:sz="4" w:space="0" w:color="000000"/>
              <w:left w:val="single" w:sz="4" w:space="0" w:color="000000"/>
              <w:bottom w:val="single" w:sz="6" w:space="0" w:color="000000"/>
              <w:right w:val="single" w:sz="4" w:space="0" w:color="000000"/>
            </w:tcBorders>
            <w:shd w:color="auto" w:fill="B8CCE4" w:themeFill="accent1" w:themeFillTint="66" w:val="clear"/>
          </w:tcPr>
          <w:p>
            <w:pPr>
              <w:pStyle w:val="Normal"/>
              <w:spacing w:before="0" w:after="0"/>
              <w:rPr>
                <w:rFonts w:ascii="Arial" w:hAnsi="Arial" w:cs="Arial"/>
                <w:b/>
                <w:b/>
              </w:rPr>
            </w:pPr>
            <w:r>
              <w:rPr>
                <w:rFonts w:cs="Arial" w:ascii="Arial" w:hAnsi="Arial"/>
                <w:b/>
              </w:rPr>
              <w:t>Technical Team Lead, Performance Engineering – SC cleared</w:t>
            </w:r>
          </w:p>
          <w:p>
            <w:pPr>
              <w:pStyle w:val="Normal"/>
              <w:spacing w:before="0" w:after="0"/>
              <w:rPr>
                <w:rFonts w:ascii="Arial" w:hAnsi="Arial" w:cs="Arial"/>
              </w:rPr>
            </w:pPr>
            <w:r>
              <w:rPr>
                <w:rFonts w:cs="Arial" w:ascii="Arial" w:hAnsi="Arial"/>
                <w:color w:val="000000"/>
                <w:shd w:fill="B8CCE4" w:val="clear"/>
              </w:rPr>
              <w:t xml:space="preserve">C-NOMIS Account: MoJ – May 2010 to </w:t>
            </w:r>
            <w:r>
              <w:rPr>
                <w:rFonts w:eastAsia="DejaVu Sans" w:cs="Arial" w:ascii="Arial" w:hAnsi="Arial"/>
                <w:color w:val="000000"/>
                <w:shd w:fill="B8CCE4" w:val="clear"/>
              </w:rPr>
              <w:t>2014</w:t>
            </w:r>
          </w:p>
        </w:tc>
      </w:tr>
      <w:tr>
        <w:trPr/>
        <w:tc>
          <w:tcPr>
            <w:tcW w:w="1807" w:type="dxa"/>
            <w:tcBorders>
              <w:top w:val="single" w:sz="6" w:space="0" w:color="000000"/>
              <w:left w:val="single" w:sz="4" w:space="0" w:color="000000"/>
              <w:bottom w:val="single" w:sz="6" w:space="0" w:color="000000"/>
              <w:right w:val="single" w:sz="6" w:space="0" w:color="000000"/>
            </w:tcBorders>
            <w:shd w:color="auto" w:fill="auto" w:val="clear"/>
          </w:tcPr>
          <w:p>
            <w:pPr>
              <w:pStyle w:val="Normal"/>
              <w:spacing w:before="0" w:after="160"/>
              <w:rPr>
                <w:rFonts w:ascii="Arial" w:hAnsi="Arial" w:cs="Arial"/>
              </w:rPr>
            </w:pPr>
            <w:r>
              <w:rPr>
                <w:rFonts w:cs="Arial" w:ascii="Arial" w:hAnsi="Arial"/>
              </w:rPr>
              <w:t>Project</w:t>
            </w:r>
          </w:p>
        </w:tc>
        <w:tc>
          <w:tcPr>
            <w:tcW w:w="8740" w:type="dxa"/>
            <w:tcBorders>
              <w:top w:val="single" w:sz="6" w:space="0" w:color="000000"/>
              <w:left w:val="single" w:sz="6" w:space="0" w:color="000000"/>
              <w:bottom w:val="single" w:sz="6" w:space="0" w:color="000000"/>
              <w:right w:val="single" w:sz="4" w:space="0" w:color="000000"/>
            </w:tcBorders>
            <w:shd w:color="auto" w:fill="auto" w:val="clear"/>
          </w:tcPr>
          <w:p>
            <w:pPr>
              <w:pStyle w:val="Normal"/>
              <w:spacing w:before="0" w:after="160"/>
              <w:rPr>
                <w:rFonts w:ascii="Arial" w:hAnsi="Arial" w:cs="Arial"/>
              </w:rPr>
            </w:pPr>
            <w:r>
              <w:rPr>
                <w:rFonts w:cs="Arial" w:ascii="Arial" w:hAnsi="Arial"/>
              </w:rPr>
              <w:t>Ministry of Justice, National Offender Management Service</w:t>
            </w:r>
          </w:p>
        </w:tc>
      </w:tr>
      <w:tr>
        <w:trPr/>
        <w:tc>
          <w:tcPr>
            <w:tcW w:w="1807" w:type="dxa"/>
            <w:tcBorders>
              <w:top w:val="single" w:sz="6" w:space="0" w:color="000000"/>
              <w:left w:val="single" w:sz="4" w:space="0" w:color="000000"/>
              <w:bottom w:val="single" w:sz="6" w:space="0" w:color="000000"/>
              <w:right w:val="single" w:sz="6" w:space="0" w:color="000000"/>
            </w:tcBorders>
            <w:shd w:color="auto" w:fill="auto" w:val="clear"/>
          </w:tcPr>
          <w:p>
            <w:pPr>
              <w:pStyle w:val="Normal"/>
              <w:spacing w:before="0" w:after="160"/>
              <w:rPr>
                <w:rFonts w:ascii="Arial" w:hAnsi="Arial" w:cs="Arial"/>
              </w:rPr>
            </w:pPr>
            <w:r>
              <w:rPr>
                <w:rFonts w:cs="Arial" w:ascii="Arial" w:hAnsi="Arial"/>
              </w:rPr>
              <w:t>Responsibilities</w:t>
            </w:r>
          </w:p>
        </w:tc>
        <w:tc>
          <w:tcPr>
            <w:tcW w:w="8740" w:type="dxa"/>
            <w:tcBorders>
              <w:top w:val="single" w:sz="6" w:space="0" w:color="000000"/>
              <w:left w:val="single" w:sz="6" w:space="0" w:color="000000"/>
              <w:bottom w:val="single" w:sz="6" w:space="0" w:color="000000"/>
              <w:right w:val="single" w:sz="4" w:space="0" w:color="000000"/>
            </w:tcBorders>
            <w:shd w:color="auto" w:fill="auto" w:val="clear"/>
          </w:tcPr>
          <w:p>
            <w:pPr>
              <w:pStyle w:val="TableBullet"/>
              <w:numPr>
                <w:ilvl w:val="0"/>
                <w:numId w:val="1"/>
              </w:numPr>
              <w:spacing w:lineRule="auto" w:line="240" w:before="60" w:after="0"/>
              <w:ind w:left="312" w:hanging="312"/>
              <w:rPr>
                <w:rFonts w:ascii="Arial" w:hAnsi="Arial" w:cs="Arial"/>
                <w:sz w:val="22"/>
                <w:szCs w:val="22"/>
              </w:rPr>
            </w:pPr>
            <w:r>
              <w:rPr>
                <w:rFonts w:cs="Arial" w:ascii="Arial" w:hAnsi="Arial"/>
                <w:sz w:val="22"/>
                <w:szCs w:val="22"/>
              </w:rPr>
              <w:t>Lead member of performance team, tuning on-going releases of C-NOMIS application (Oracle forms), BusinessObjects reporting and associated infrastructure of Solaris 10, WebLogic 10.3, Oracle 11.1, BOE Xi3.</w:t>
            </w:r>
          </w:p>
          <w:p>
            <w:pPr>
              <w:pStyle w:val="TableBullet"/>
              <w:numPr>
                <w:ilvl w:val="0"/>
                <w:numId w:val="1"/>
              </w:numPr>
              <w:spacing w:lineRule="auto" w:line="240" w:before="60" w:after="0"/>
              <w:ind w:left="312" w:hanging="312"/>
              <w:rPr>
                <w:rFonts w:ascii="Arial" w:hAnsi="Arial" w:cs="Arial"/>
                <w:sz w:val="22"/>
                <w:szCs w:val="22"/>
              </w:rPr>
            </w:pPr>
            <w:r>
              <w:rPr>
                <w:rFonts w:cs="Arial" w:ascii="Arial" w:hAnsi="Arial"/>
                <w:sz w:val="22"/>
                <w:szCs w:val="22"/>
              </w:rPr>
              <w:t>Working with Lead Architect on architectural issues.</w:t>
            </w:r>
          </w:p>
          <w:p>
            <w:pPr>
              <w:pStyle w:val="TableBullet"/>
              <w:numPr>
                <w:ilvl w:val="0"/>
                <w:numId w:val="1"/>
              </w:numPr>
              <w:spacing w:lineRule="auto" w:line="240" w:before="60" w:after="0"/>
              <w:ind w:left="312" w:hanging="312"/>
              <w:rPr>
                <w:rFonts w:ascii="Arial" w:hAnsi="Arial" w:cs="Arial"/>
                <w:sz w:val="22"/>
                <w:szCs w:val="22"/>
              </w:rPr>
            </w:pPr>
            <w:r>
              <w:rPr>
                <w:rFonts w:cs="Arial" w:ascii="Arial" w:hAnsi="Arial"/>
                <w:sz w:val="22"/>
                <w:szCs w:val="22"/>
              </w:rPr>
              <w:t>Working with business to identify critical business and related peak hour operations.</w:t>
            </w:r>
          </w:p>
          <w:p>
            <w:pPr>
              <w:pStyle w:val="TableBullet"/>
              <w:numPr>
                <w:ilvl w:val="0"/>
                <w:numId w:val="1"/>
              </w:numPr>
              <w:spacing w:lineRule="auto" w:line="240" w:before="60" w:after="0"/>
              <w:ind w:left="312" w:hanging="312"/>
              <w:rPr>
                <w:rFonts w:ascii="Arial" w:hAnsi="Arial" w:cs="Arial"/>
                <w:sz w:val="22"/>
                <w:szCs w:val="22"/>
              </w:rPr>
            </w:pPr>
            <w:r>
              <w:rPr>
                <w:rFonts w:cs="Arial" w:ascii="Arial" w:hAnsi="Arial"/>
                <w:sz w:val="22"/>
                <w:szCs w:val="22"/>
              </w:rPr>
              <w:t>Using tools such as LoadRunner and SiteScope to performance map the system and various tools and scripting (including UNIX sar, [pr|mp|vm]stat, shell script, SQL &amp; PL/SQL) to drive and monitor performance tests.</w:t>
            </w:r>
          </w:p>
          <w:p>
            <w:pPr>
              <w:pStyle w:val="TableBullet"/>
              <w:numPr>
                <w:ilvl w:val="0"/>
                <w:numId w:val="1"/>
              </w:numPr>
              <w:spacing w:lineRule="auto" w:line="240" w:before="60" w:after="0"/>
              <w:ind w:left="312" w:hanging="312"/>
              <w:rPr>
                <w:rFonts w:ascii="Arial" w:hAnsi="Arial" w:cs="Arial"/>
                <w:sz w:val="22"/>
                <w:szCs w:val="22"/>
              </w:rPr>
            </w:pPr>
            <w:r>
              <w:rPr>
                <w:rFonts w:cs="Arial" w:ascii="Arial" w:hAnsi="Arial"/>
                <w:sz w:val="22"/>
                <w:szCs w:val="22"/>
              </w:rPr>
              <w:t>Carry out predictive modeling and performance monitoring to estimate loads, identify enhancement and monitor SLAs to support operations using such tools as Hyperformix, CAST and Compuware Vantage Agentless toolset.</w:t>
            </w:r>
          </w:p>
        </w:tc>
      </w:tr>
      <w:tr>
        <w:trPr/>
        <w:tc>
          <w:tcPr>
            <w:tcW w:w="1807" w:type="dxa"/>
            <w:tcBorders>
              <w:top w:val="single" w:sz="6" w:space="0" w:color="000000"/>
              <w:left w:val="single" w:sz="4" w:space="0" w:color="000000"/>
              <w:bottom w:val="single" w:sz="6" w:space="0" w:color="000000"/>
              <w:right w:val="single" w:sz="6" w:space="0" w:color="000000"/>
            </w:tcBorders>
            <w:shd w:color="auto" w:fill="auto" w:val="clear"/>
          </w:tcPr>
          <w:p>
            <w:pPr>
              <w:pStyle w:val="Normal"/>
              <w:spacing w:before="0" w:after="160"/>
              <w:rPr>
                <w:rFonts w:ascii="Arial" w:hAnsi="Arial" w:cs="Arial"/>
              </w:rPr>
            </w:pPr>
            <w:r>
              <w:rPr>
                <w:rFonts w:cs="Arial" w:ascii="Arial" w:hAnsi="Arial"/>
              </w:rPr>
              <w:t>Achievements</w:t>
            </w:r>
          </w:p>
        </w:tc>
        <w:tc>
          <w:tcPr>
            <w:tcW w:w="8740" w:type="dxa"/>
            <w:tcBorders>
              <w:top w:val="single" w:sz="6" w:space="0" w:color="000000"/>
              <w:left w:val="single" w:sz="6" w:space="0" w:color="000000"/>
              <w:bottom w:val="single" w:sz="6" w:space="0" w:color="000000"/>
              <w:right w:val="single" w:sz="4" w:space="0" w:color="000000"/>
            </w:tcBorders>
            <w:shd w:color="auto" w:fill="auto" w:val="clear"/>
          </w:tcPr>
          <w:p>
            <w:pPr>
              <w:pStyle w:val="TableBullet"/>
              <w:numPr>
                <w:ilvl w:val="0"/>
                <w:numId w:val="0"/>
              </w:numPr>
              <w:spacing w:before="0" w:after="0"/>
              <w:ind w:left="60" w:hanging="0"/>
              <w:jc w:val="both"/>
              <w:rPr>
                <w:rFonts w:ascii="Arial" w:hAnsi="Arial" w:cs="Arial"/>
                <w:sz w:val="22"/>
                <w:szCs w:val="22"/>
              </w:rPr>
            </w:pPr>
            <w:r>
              <w:rPr>
                <w:rFonts w:cs="Arial" w:ascii="Arial" w:hAnsi="Arial"/>
                <w:sz w:val="22"/>
                <w:szCs w:val="22"/>
              </w:rPr>
              <w:t xml:space="preserve">I successfully identified root causes, tuned and configured on-going releases of Prison NOMIS multi-tier application suite, and supported the Live team with app, DB and environment issues including finding and fixing an issue with a CISCO LoadBalancer. </w:t>
            </w:r>
          </w:p>
          <w:p>
            <w:pPr>
              <w:pStyle w:val="TableBullet"/>
              <w:numPr>
                <w:ilvl w:val="0"/>
                <w:numId w:val="0"/>
              </w:numPr>
              <w:spacing w:before="0" w:after="0"/>
              <w:ind w:left="60" w:hanging="0"/>
              <w:jc w:val="both"/>
              <w:rPr>
                <w:rFonts w:ascii="Arial" w:hAnsi="Arial" w:cs="Arial"/>
                <w:sz w:val="22"/>
                <w:szCs w:val="22"/>
              </w:rPr>
            </w:pPr>
            <w:r>
              <w:rPr>
                <w:rFonts w:cs="Arial" w:ascii="Arial" w:hAnsi="Arial"/>
                <w:sz w:val="22"/>
                <w:szCs w:val="22"/>
              </w:rPr>
            </w:r>
          </w:p>
          <w:p>
            <w:pPr>
              <w:pStyle w:val="TableBullet"/>
              <w:numPr>
                <w:ilvl w:val="0"/>
                <w:numId w:val="0"/>
              </w:numPr>
              <w:spacing w:before="0" w:after="0"/>
              <w:ind w:left="60" w:hanging="0"/>
              <w:jc w:val="both"/>
              <w:rPr>
                <w:rFonts w:ascii="Arial" w:hAnsi="Arial" w:cs="Arial"/>
                <w:sz w:val="22"/>
                <w:szCs w:val="22"/>
              </w:rPr>
            </w:pPr>
            <w:r>
              <w:rPr>
                <w:rFonts w:cs="Arial" w:ascii="Arial" w:hAnsi="Arial"/>
                <w:sz w:val="22"/>
                <w:szCs w:val="22"/>
              </w:rPr>
              <w:t>I developed P&amp;S Dashboard (DHTML &amp; Perl CGI) for use by testing and support teams to monitor and maintain the environment. I also developed bespoke data scrambling solution (in shell, Perl, SQL and PL/SQL) to scramble the Live DB to take off onto non-restricted environments.  I did this for three different Prison service DBs.  I also scrambled the Probation Service primary (OASys) DB and achieved accreditation within two months.</w:t>
            </w:r>
          </w:p>
        </w:tc>
      </w:tr>
      <w:tr>
        <w:trPr/>
        <w:tc>
          <w:tcPr>
            <w:tcW w:w="10547" w:type="dxa"/>
            <w:gridSpan w:val="2"/>
            <w:tcBorders>
              <w:top w:val="single" w:sz="6" w:space="0" w:color="000000"/>
              <w:left w:val="single" w:sz="4" w:space="0" w:color="000000"/>
              <w:bottom w:val="single" w:sz="6" w:space="0" w:color="000000"/>
              <w:right w:val="single" w:sz="4" w:space="0" w:color="000000"/>
            </w:tcBorders>
            <w:shd w:color="auto" w:fill="B8CCE4" w:themeFill="accent1" w:themeFillTint="66" w:val="clear"/>
          </w:tcPr>
          <w:p>
            <w:pPr>
              <w:pStyle w:val="Heading3"/>
              <w:spacing w:before="40" w:after="0"/>
              <w:rPr>
                <w:rFonts w:ascii="Arial" w:hAnsi="Arial" w:cs="Arial"/>
                <w:b/>
                <w:b/>
                <w:sz w:val="22"/>
                <w:szCs w:val="22"/>
              </w:rPr>
            </w:pPr>
            <w:r>
              <w:rPr>
                <w:rFonts w:cs="Arial" w:ascii="Arial" w:hAnsi="Arial"/>
                <w:b/>
                <w:sz w:val="22"/>
                <w:szCs w:val="22"/>
              </w:rPr>
              <w:t>Technical Team Lead, LIDS to NOMIS Data Migration – SC/EBS/CTC cleared</w:t>
            </w:r>
          </w:p>
          <w:p>
            <w:pPr>
              <w:pStyle w:val="Heading3"/>
              <w:rPr>
                <w:rFonts w:ascii="Arial" w:hAnsi="Arial" w:cs="Arial"/>
                <w:sz w:val="22"/>
                <w:szCs w:val="22"/>
              </w:rPr>
            </w:pPr>
            <w:r>
              <w:rPr>
                <w:rFonts w:cs="Arial" w:ascii="Arial" w:hAnsi="Arial"/>
                <w:sz w:val="22"/>
                <w:szCs w:val="22"/>
              </w:rPr>
              <w:t>C-NOMIS Account: MoJ – Sep 2008 to May 2010</w:t>
            </w:r>
          </w:p>
        </w:tc>
      </w:tr>
      <w:tr>
        <w:trPr/>
        <w:tc>
          <w:tcPr>
            <w:tcW w:w="1807" w:type="dxa"/>
            <w:tcBorders>
              <w:top w:val="single" w:sz="6" w:space="0" w:color="000000"/>
              <w:left w:val="single" w:sz="4" w:space="0" w:color="000000"/>
              <w:bottom w:val="single" w:sz="6" w:space="0" w:color="000000"/>
              <w:right w:val="single" w:sz="6" w:space="0" w:color="000000"/>
            </w:tcBorders>
            <w:shd w:color="auto" w:fill="auto" w:val="clear"/>
          </w:tcPr>
          <w:p>
            <w:pPr>
              <w:pStyle w:val="Normal"/>
              <w:spacing w:before="0" w:after="160"/>
              <w:rPr>
                <w:rFonts w:ascii="Arial" w:hAnsi="Arial" w:cs="Arial"/>
              </w:rPr>
            </w:pPr>
            <w:r>
              <w:rPr>
                <w:rFonts w:cs="Arial" w:ascii="Arial" w:hAnsi="Arial"/>
              </w:rPr>
              <w:t>Project</w:t>
            </w:r>
          </w:p>
        </w:tc>
        <w:tc>
          <w:tcPr>
            <w:tcW w:w="8740" w:type="dxa"/>
            <w:tcBorders>
              <w:top w:val="single" w:sz="6" w:space="0" w:color="000000"/>
              <w:left w:val="single" w:sz="6" w:space="0" w:color="000000"/>
              <w:bottom w:val="single" w:sz="6" w:space="0" w:color="000000"/>
              <w:right w:val="single" w:sz="4" w:space="0" w:color="000000"/>
            </w:tcBorders>
            <w:shd w:color="auto" w:fill="auto" w:val="clear"/>
          </w:tcPr>
          <w:p>
            <w:pPr>
              <w:pStyle w:val="Normal"/>
              <w:spacing w:before="0" w:after="160"/>
              <w:rPr>
                <w:rFonts w:ascii="Arial" w:hAnsi="Arial" w:cs="Arial"/>
              </w:rPr>
            </w:pPr>
            <w:r>
              <w:rPr>
                <w:rFonts w:cs="Arial" w:ascii="Arial" w:hAnsi="Arial"/>
              </w:rPr>
              <w:t>Ministry of Justice, National Offender Management Service</w:t>
            </w:r>
          </w:p>
        </w:tc>
      </w:tr>
      <w:tr>
        <w:trPr/>
        <w:tc>
          <w:tcPr>
            <w:tcW w:w="1807" w:type="dxa"/>
            <w:tcBorders>
              <w:top w:val="single" w:sz="6" w:space="0" w:color="000000"/>
              <w:left w:val="single" w:sz="4" w:space="0" w:color="000000"/>
              <w:bottom w:val="single" w:sz="6" w:space="0" w:color="000000"/>
              <w:right w:val="single" w:sz="6" w:space="0" w:color="000000"/>
            </w:tcBorders>
            <w:shd w:color="auto" w:fill="auto" w:val="clear"/>
          </w:tcPr>
          <w:p>
            <w:pPr>
              <w:pStyle w:val="Normal"/>
              <w:spacing w:before="0" w:after="160"/>
              <w:rPr>
                <w:rFonts w:ascii="Arial" w:hAnsi="Arial" w:cs="Arial"/>
              </w:rPr>
            </w:pPr>
            <w:r>
              <w:rPr>
                <w:rFonts w:cs="Arial" w:ascii="Arial" w:hAnsi="Arial"/>
              </w:rPr>
              <w:t>Responsibilities</w:t>
            </w:r>
          </w:p>
        </w:tc>
        <w:tc>
          <w:tcPr>
            <w:tcW w:w="8740" w:type="dxa"/>
            <w:tcBorders>
              <w:top w:val="single" w:sz="6" w:space="0" w:color="000000"/>
              <w:left w:val="single" w:sz="6" w:space="0" w:color="000000"/>
              <w:bottom w:val="single" w:sz="6" w:space="0" w:color="000000"/>
              <w:right w:val="single" w:sz="4" w:space="0" w:color="000000"/>
            </w:tcBorders>
            <w:shd w:color="auto" w:fill="auto" w:val="clear"/>
          </w:tcPr>
          <w:p>
            <w:pPr>
              <w:pStyle w:val="TableBullet"/>
              <w:numPr>
                <w:ilvl w:val="0"/>
                <w:numId w:val="1"/>
              </w:numPr>
              <w:spacing w:lineRule="auto" w:line="240" w:before="0" w:after="0"/>
              <w:ind w:left="312" w:hanging="312"/>
              <w:rPr>
                <w:rFonts w:ascii="Arial" w:hAnsi="Arial" w:cs="Arial"/>
                <w:sz w:val="22"/>
                <w:szCs w:val="22"/>
              </w:rPr>
            </w:pPr>
            <w:r>
              <w:rPr>
                <w:rFonts w:cs="Arial" w:ascii="Arial" w:hAnsi="Arial"/>
                <w:sz w:val="22"/>
                <w:szCs w:val="22"/>
              </w:rPr>
              <w:t>Technical lead member of data migration team</w:t>
            </w:r>
          </w:p>
          <w:p>
            <w:pPr>
              <w:pStyle w:val="TableBullet"/>
              <w:numPr>
                <w:ilvl w:val="0"/>
                <w:numId w:val="5"/>
              </w:numPr>
              <w:spacing w:lineRule="auto" w:line="240" w:before="0" w:after="0"/>
              <w:ind w:left="312" w:hanging="312"/>
              <w:rPr>
                <w:rFonts w:ascii="Arial" w:hAnsi="Arial" w:cs="Arial"/>
                <w:sz w:val="22"/>
                <w:szCs w:val="22"/>
              </w:rPr>
            </w:pPr>
            <w:r>
              <w:rPr>
                <w:rFonts w:cs="Arial" w:ascii="Arial" w:hAnsi="Arial"/>
                <w:sz w:val="22"/>
                <w:szCs w:val="22"/>
              </w:rPr>
              <w:t>Responsible for technical aspects of solution to migrate all 133 public sector establishments (Prisons) from the existing LIDS system onto C-NOMIS with a modern infrastructure.</w:t>
            </w:r>
          </w:p>
          <w:p>
            <w:pPr>
              <w:pStyle w:val="TableBullet"/>
              <w:numPr>
                <w:ilvl w:val="0"/>
                <w:numId w:val="1"/>
              </w:numPr>
              <w:spacing w:lineRule="auto" w:line="240" w:before="0" w:after="0"/>
              <w:ind w:left="312" w:hanging="312"/>
              <w:rPr>
                <w:rFonts w:ascii="Arial" w:hAnsi="Arial" w:cs="Arial"/>
                <w:sz w:val="22"/>
                <w:szCs w:val="22"/>
              </w:rPr>
            </w:pPr>
            <w:r>
              <w:rPr>
                <w:rFonts w:cs="Arial" w:ascii="Arial" w:hAnsi="Arial"/>
                <w:sz w:val="22"/>
                <w:szCs w:val="22"/>
              </w:rPr>
              <w:t>Designing and assisting in coding the data migration process, mostly in Unix shell script, SQL, PL/SQL, BusinessObjects Enterprise BODI toolset (BusinessObjects Data Integrator)</w:t>
            </w:r>
          </w:p>
          <w:p>
            <w:pPr>
              <w:pStyle w:val="TableBullet"/>
              <w:numPr>
                <w:ilvl w:val="0"/>
                <w:numId w:val="1"/>
              </w:numPr>
              <w:spacing w:lineRule="auto" w:line="240" w:before="0" w:after="0"/>
              <w:ind w:left="312" w:hanging="312"/>
              <w:rPr>
                <w:rFonts w:ascii="Arial" w:hAnsi="Arial" w:cs="Arial"/>
                <w:sz w:val="22"/>
                <w:szCs w:val="22"/>
              </w:rPr>
            </w:pPr>
            <w:r>
              <w:rPr>
                <w:rFonts w:cs="Arial" w:ascii="Arial" w:hAnsi="Arial"/>
                <w:sz w:val="22"/>
                <w:szCs w:val="22"/>
                <w:lang w:val="en-GB"/>
              </w:rPr>
              <w:t>Coding included creation of user menus, process control, report and document creation (automated generation of .html reports for customers and interfaces team)</w:t>
            </w:r>
          </w:p>
          <w:p>
            <w:pPr>
              <w:pStyle w:val="TableBullet"/>
              <w:numPr>
                <w:ilvl w:val="0"/>
                <w:numId w:val="1"/>
              </w:numPr>
              <w:spacing w:lineRule="auto" w:line="240" w:before="0" w:after="0"/>
              <w:ind w:left="312" w:hanging="312"/>
              <w:rPr>
                <w:rFonts w:ascii="Arial" w:hAnsi="Arial" w:cs="Arial"/>
                <w:sz w:val="22"/>
                <w:szCs w:val="22"/>
              </w:rPr>
            </w:pPr>
            <w:r>
              <w:rPr>
                <w:rFonts w:cs="Arial" w:ascii="Arial" w:hAnsi="Arial"/>
                <w:sz w:val="22"/>
                <w:szCs w:val="22"/>
                <w:lang w:val="en-GB"/>
              </w:rPr>
              <w:t>Attending weekly weekend migrations as technical support and liaison between HP and 3</w:t>
            </w:r>
            <w:r>
              <w:rPr>
                <w:rFonts w:cs="Arial" w:ascii="Arial" w:hAnsi="Arial"/>
                <w:sz w:val="22"/>
                <w:szCs w:val="22"/>
                <w:vertAlign w:val="superscript"/>
                <w:lang w:val="en-GB"/>
              </w:rPr>
              <w:t>rd</w:t>
            </w:r>
            <w:r>
              <w:rPr>
                <w:rFonts w:cs="Arial" w:ascii="Arial" w:hAnsi="Arial"/>
                <w:sz w:val="22"/>
                <w:szCs w:val="22"/>
                <w:lang w:val="en-GB"/>
              </w:rPr>
              <w:t xml:space="preserve"> parties</w:t>
            </w:r>
          </w:p>
        </w:tc>
      </w:tr>
      <w:tr>
        <w:trPr/>
        <w:tc>
          <w:tcPr>
            <w:tcW w:w="1807" w:type="dxa"/>
            <w:tcBorders>
              <w:top w:val="single" w:sz="6" w:space="0" w:color="000000"/>
              <w:left w:val="single" w:sz="4" w:space="0" w:color="000000"/>
              <w:bottom w:val="single" w:sz="6" w:space="0" w:color="000000"/>
              <w:right w:val="single" w:sz="6" w:space="0" w:color="000000"/>
            </w:tcBorders>
            <w:shd w:color="auto" w:fill="auto" w:val="clear"/>
          </w:tcPr>
          <w:p>
            <w:pPr>
              <w:pStyle w:val="Normal"/>
              <w:spacing w:before="0" w:after="160"/>
              <w:rPr>
                <w:rFonts w:ascii="Arial" w:hAnsi="Arial" w:cs="Arial"/>
              </w:rPr>
            </w:pPr>
            <w:r>
              <w:rPr>
                <w:rFonts w:cs="Arial" w:ascii="Arial" w:hAnsi="Arial"/>
              </w:rPr>
              <w:t>Achievements</w:t>
            </w:r>
          </w:p>
        </w:tc>
        <w:tc>
          <w:tcPr>
            <w:tcW w:w="8740" w:type="dxa"/>
            <w:tcBorders>
              <w:top w:val="single" w:sz="6" w:space="0" w:color="000000"/>
              <w:left w:val="single" w:sz="6" w:space="0" w:color="000000"/>
              <w:bottom w:val="single" w:sz="6" w:space="0" w:color="000000"/>
              <w:right w:val="single" w:sz="4" w:space="0" w:color="000000"/>
            </w:tcBorders>
            <w:shd w:color="auto" w:fill="auto" w:val="clear"/>
          </w:tcPr>
          <w:p>
            <w:pPr>
              <w:pStyle w:val="TableBullet"/>
              <w:numPr>
                <w:ilvl w:val="0"/>
                <w:numId w:val="0"/>
              </w:numPr>
              <w:spacing w:before="60" w:after="60"/>
              <w:ind w:left="0" w:hanging="0"/>
              <w:rPr>
                <w:rFonts w:ascii="Arial" w:hAnsi="Arial" w:cs="Arial"/>
                <w:sz w:val="22"/>
                <w:szCs w:val="22"/>
              </w:rPr>
            </w:pPr>
            <w:r>
              <w:rPr>
                <w:rFonts w:cs="Arial" w:ascii="Arial" w:hAnsi="Arial"/>
                <w:sz w:val="22"/>
                <w:szCs w:val="22"/>
              </w:rPr>
              <w:t xml:space="preserve">I successfully migrated all 133 public sector Prison Establishments in the 12 month transition period with 100% success, with over 80,000 active offenders, all historical data and billions of rows (RDBMS) of data.  </w:t>
            </w:r>
          </w:p>
        </w:tc>
      </w:tr>
      <w:tr>
        <w:trPr/>
        <w:tc>
          <w:tcPr>
            <w:tcW w:w="10547" w:type="dxa"/>
            <w:gridSpan w:val="2"/>
            <w:tcBorders>
              <w:top w:val="single" w:sz="6" w:space="0" w:color="000000"/>
              <w:left w:val="single" w:sz="4" w:space="0" w:color="000000"/>
              <w:bottom w:val="single" w:sz="6" w:space="0" w:color="000000"/>
              <w:right w:val="single" w:sz="4" w:space="0" w:color="000000"/>
            </w:tcBorders>
            <w:shd w:color="auto" w:fill="B8CCE4" w:themeFill="accent1" w:themeFillTint="66" w:val="clear"/>
          </w:tcPr>
          <w:p>
            <w:pPr>
              <w:pStyle w:val="Heading3"/>
              <w:spacing w:before="40" w:after="0"/>
              <w:rPr>
                <w:rFonts w:ascii="Arial" w:hAnsi="Arial" w:cs="Arial"/>
                <w:b/>
                <w:b/>
                <w:sz w:val="22"/>
                <w:szCs w:val="22"/>
              </w:rPr>
            </w:pPr>
            <w:r>
              <w:rPr>
                <w:rFonts w:cs="Arial" w:ascii="Arial" w:hAnsi="Arial"/>
                <w:b/>
                <w:sz w:val="22"/>
                <w:szCs w:val="22"/>
              </w:rPr>
              <w:t>Lead Engineer, Applications Hosting Team – SC/CTC cleared</w:t>
            </w:r>
          </w:p>
          <w:p>
            <w:pPr>
              <w:pStyle w:val="Heading3"/>
              <w:rPr>
                <w:rFonts w:ascii="Arial" w:hAnsi="Arial" w:cs="Arial"/>
                <w:sz w:val="22"/>
                <w:szCs w:val="22"/>
              </w:rPr>
            </w:pPr>
            <w:r>
              <w:rPr>
                <w:rFonts w:cs="Arial" w:ascii="Arial" w:hAnsi="Arial"/>
                <w:sz w:val="22"/>
                <w:szCs w:val="22"/>
              </w:rPr>
              <w:t>DII(F) Account: MoD – Jul 2007 to Aug 2008</w:t>
            </w:r>
          </w:p>
        </w:tc>
      </w:tr>
      <w:tr>
        <w:trPr/>
        <w:tc>
          <w:tcPr>
            <w:tcW w:w="1807" w:type="dxa"/>
            <w:tcBorders>
              <w:top w:val="single" w:sz="6" w:space="0" w:color="000000"/>
              <w:left w:val="single" w:sz="4" w:space="0" w:color="000000"/>
              <w:bottom w:val="single" w:sz="6" w:space="0" w:color="000000"/>
              <w:right w:val="single" w:sz="6" w:space="0" w:color="000000"/>
            </w:tcBorders>
            <w:shd w:color="auto" w:fill="auto" w:val="clear"/>
          </w:tcPr>
          <w:p>
            <w:pPr>
              <w:pStyle w:val="Normal"/>
              <w:spacing w:before="0" w:after="160"/>
              <w:rPr>
                <w:rFonts w:ascii="Arial" w:hAnsi="Arial" w:cs="Arial"/>
              </w:rPr>
            </w:pPr>
            <w:r>
              <w:rPr>
                <w:rFonts w:cs="Arial" w:ascii="Arial" w:hAnsi="Arial"/>
              </w:rPr>
              <w:t>Project</w:t>
            </w:r>
          </w:p>
        </w:tc>
        <w:tc>
          <w:tcPr>
            <w:tcW w:w="8740" w:type="dxa"/>
            <w:tcBorders>
              <w:top w:val="single" w:sz="6" w:space="0" w:color="000000"/>
              <w:left w:val="single" w:sz="6" w:space="0" w:color="000000"/>
              <w:bottom w:val="single" w:sz="6" w:space="0" w:color="000000"/>
              <w:right w:val="single" w:sz="4" w:space="0" w:color="000000"/>
            </w:tcBorders>
            <w:shd w:color="auto" w:fill="auto" w:val="clear"/>
          </w:tcPr>
          <w:p>
            <w:pPr>
              <w:pStyle w:val="Normal"/>
              <w:spacing w:before="0" w:after="160"/>
              <w:rPr>
                <w:rFonts w:ascii="Arial" w:hAnsi="Arial" w:cs="Arial"/>
              </w:rPr>
            </w:pPr>
            <w:r>
              <w:rPr>
                <w:rFonts w:cs="Arial" w:ascii="Arial" w:hAnsi="Arial"/>
              </w:rPr>
              <w:t xml:space="preserve">Ministry of Defence, Atlas Consortium, Defence Information Infrastructure (Future) </w:t>
            </w:r>
          </w:p>
        </w:tc>
      </w:tr>
      <w:tr>
        <w:trPr/>
        <w:tc>
          <w:tcPr>
            <w:tcW w:w="1807" w:type="dxa"/>
            <w:tcBorders>
              <w:top w:val="single" w:sz="6" w:space="0" w:color="000000"/>
              <w:left w:val="single" w:sz="4" w:space="0" w:color="000000"/>
              <w:bottom w:val="single" w:sz="6" w:space="0" w:color="000000"/>
              <w:right w:val="single" w:sz="6" w:space="0" w:color="000000"/>
            </w:tcBorders>
            <w:shd w:color="auto" w:fill="auto" w:val="clear"/>
          </w:tcPr>
          <w:p>
            <w:pPr>
              <w:pStyle w:val="Normal"/>
              <w:spacing w:before="0" w:after="160"/>
              <w:rPr>
                <w:rFonts w:ascii="Arial" w:hAnsi="Arial" w:cs="Arial"/>
              </w:rPr>
            </w:pPr>
            <w:r>
              <w:rPr>
                <w:rFonts w:cs="Arial" w:ascii="Arial" w:hAnsi="Arial"/>
              </w:rPr>
              <w:t>Responsibilities</w:t>
            </w:r>
          </w:p>
        </w:tc>
        <w:tc>
          <w:tcPr>
            <w:tcW w:w="8740" w:type="dxa"/>
            <w:tcBorders>
              <w:top w:val="single" w:sz="6" w:space="0" w:color="000000"/>
              <w:left w:val="single" w:sz="6" w:space="0" w:color="000000"/>
              <w:bottom w:val="single" w:sz="6" w:space="0" w:color="000000"/>
              <w:right w:val="single" w:sz="4" w:space="0" w:color="000000"/>
            </w:tcBorders>
            <w:shd w:color="auto" w:fill="auto" w:val="clear"/>
          </w:tcPr>
          <w:p>
            <w:pPr>
              <w:pStyle w:val="TableBullet"/>
              <w:numPr>
                <w:ilvl w:val="0"/>
                <w:numId w:val="1"/>
              </w:numPr>
              <w:spacing w:before="0" w:after="0"/>
              <w:ind w:left="312" w:hanging="312"/>
              <w:rPr>
                <w:rFonts w:ascii="Arial" w:hAnsi="Arial" w:cs="Arial"/>
                <w:sz w:val="22"/>
                <w:szCs w:val="22"/>
              </w:rPr>
            </w:pPr>
            <w:r>
              <w:rPr>
                <w:rFonts w:cs="Arial" w:ascii="Arial" w:hAnsi="Arial"/>
                <w:sz w:val="22"/>
                <w:szCs w:val="22"/>
              </w:rPr>
              <w:t>Lead applications hosting team in technical architecture &amp; design</w:t>
            </w:r>
          </w:p>
          <w:p>
            <w:pPr>
              <w:pStyle w:val="TableBullet"/>
              <w:numPr>
                <w:ilvl w:val="0"/>
                <w:numId w:val="1"/>
              </w:numPr>
              <w:spacing w:before="0" w:after="0"/>
              <w:ind w:left="312" w:hanging="312"/>
              <w:rPr>
                <w:rFonts w:ascii="Arial" w:hAnsi="Arial" w:cs="Arial"/>
                <w:sz w:val="22"/>
                <w:szCs w:val="22"/>
              </w:rPr>
            </w:pPr>
            <w:r>
              <w:rPr>
                <w:rFonts w:cs="Arial" w:ascii="Arial" w:hAnsi="Arial"/>
                <w:sz w:val="22"/>
                <w:szCs w:val="22"/>
              </w:rPr>
              <w:t>Production of High Level Designs</w:t>
            </w:r>
          </w:p>
          <w:p>
            <w:pPr>
              <w:pStyle w:val="TableBullet"/>
              <w:numPr>
                <w:ilvl w:val="0"/>
                <w:numId w:val="1"/>
              </w:numPr>
              <w:spacing w:before="0" w:after="0"/>
              <w:ind w:left="312" w:hanging="312"/>
              <w:rPr>
                <w:rFonts w:ascii="Arial" w:hAnsi="Arial" w:cs="Arial"/>
                <w:sz w:val="22"/>
                <w:szCs w:val="22"/>
              </w:rPr>
            </w:pPr>
            <w:r>
              <w:rPr>
                <w:rFonts w:cs="Arial" w:ascii="Arial" w:hAnsi="Arial"/>
                <w:sz w:val="22"/>
                <w:szCs w:val="22"/>
              </w:rPr>
              <w:t>Working with Lead Architect on architectural issues</w:t>
            </w:r>
          </w:p>
          <w:p>
            <w:pPr>
              <w:pStyle w:val="TableBullet"/>
              <w:numPr>
                <w:ilvl w:val="0"/>
                <w:numId w:val="1"/>
              </w:numPr>
              <w:spacing w:before="0" w:after="0"/>
              <w:ind w:left="312" w:hanging="312"/>
              <w:rPr>
                <w:rFonts w:ascii="Arial" w:hAnsi="Arial" w:cs="Arial"/>
                <w:sz w:val="22"/>
                <w:szCs w:val="22"/>
              </w:rPr>
            </w:pPr>
            <w:r>
              <w:rPr>
                <w:rFonts w:cs="Arial" w:ascii="Arial" w:hAnsi="Arial"/>
                <w:sz w:val="22"/>
                <w:szCs w:val="22"/>
              </w:rPr>
              <w:t>Working with business development on bids (for apps hosting)</w:t>
            </w:r>
          </w:p>
          <w:p>
            <w:pPr>
              <w:pStyle w:val="TableBullet"/>
              <w:numPr>
                <w:ilvl w:val="0"/>
                <w:numId w:val="1"/>
              </w:numPr>
              <w:spacing w:before="0" w:after="0"/>
              <w:ind w:left="312" w:hanging="312"/>
              <w:rPr>
                <w:rFonts w:ascii="Arial" w:hAnsi="Arial" w:cs="Arial"/>
                <w:sz w:val="22"/>
                <w:szCs w:val="22"/>
              </w:rPr>
            </w:pPr>
            <w:r>
              <w:rPr>
                <w:rFonts w:cs="Arial" w:ascii="Arial" w:hAnsi="Arial"/>
                <w:sz w:val="22"/>
                <w:szCs w:val="22"/>
              </w:rPr>
              <w:t>Working with MoD customers, partners, product suppliers &amp; 3</w:t>
            </w:r>
            <w:r>
              <w:rPr>
                <w:rFonts w:cs="Arial" w:ascii="Arial" w:hAnsi="Arial"/>
                <w:sz w:val="22"/>
                <w:szCs w:val="22"/>
                <w:vertAlign w:val="superscript"/>
              </w:rPr>
              <w:t>rd</w:t>
            </w:r>
            <w:r>
              <w:rPr>
                <w:rFonts w:cs="Arial" w:ascii="Arial" w:hAnsi="Arial"/>
                <w:sz w:val="22"/>
                <w:szCs w:val="22"/>
              </w:rPr>
              <w:t xml:space="preserve"> parties</w:t>
            </w:r>
          </w:p>
        </w:tc>
      </w:tr>
      <w:tr>
        <w:trPr/>
        <w:tc>
          <w:tcPr>
            <w:tcW w:w="1807" w:type="dxa"/>
            <w:tcBorders>
              <w:top w:val="single" w:sz="6" w:space="0" w:color="000000"/>
              <w:left w:val="single" w:sz="4" w:space="0" w:color="000000"/>
              <w:bottom w:val="single" w:sz="6" w:space="0" w:color="000000"/>
              <w:right w:val="single" w:sz="6" w:space="0" w:color="000000"/>
            </w:tcBorders>
            <w:shd w:color="auto" w:fill="auto" w:val="clear"/>
          </w:tcPr>
          <w:p>
            <w:pPr>
              <w:pStyle w:val="Normal"/>
              <w:spacing w:before="0" w:after="160"/>
              <w:rPr>
                <w:rFonts w:ascii="Arial" w:hAnsi="Arial" w:cs="Arial"/>
              </w:rPr>
            </w:pPr>
            <w:r>
              <w:rPr>
                <w:rFonts w:cs="Arial" w:ascii="Arial" w:hAnsi="Arial"/>
              </w:rPr>
              <w:t>Achievements</w:t>
            </w:r>
          </w:p>
        </w:tc>
        <w:tc>
          <w:tcPr>
            <w:tcW w:w="8740" w:type="dxa"/>
            <w:tcBorders>
              <w:top w:val="single" w:sz="6" w:space="0" w:color="000000"/>
              <w:left w:val="single" w:sz="6" w:space="0" w:color="000000"/>
              <w:bottom w:val="single" w:sz="6" w:space="0" w:color="000000"/>
              <w:right w:val="single" w:sz="4" w:space="0" w:color="000000"/>
            </w:tcBorders>
            <w:shd w:color="auto" w:fill="auto" w:val="clear"/>
          </w:tcPr>
          <w:p>
            <w:pPr>
              <w:pStyle w:val="TableBullet"/>
              <w:numPr>
                <w:ilvl w:val="0"/>
                <w:numId w:val="0"/>
              </w:numPr>
              <w:spacing w:before="60" w:after="60"/>
              <w:ind w:left="0" w:hanging="0"/>
              <w:rPr>
                <w:rFonts w:ascii="Arial" w:hAnsi="Arial" w:cs="Arial"/>
                <w:sz w:val="22"/>
                <w:szCs w:val="22"/>
              </w:rPr>
            </w:pPr>
            <w:r>
              <w:rPr>
                <w:rFonts w:cs="Arial" w:ascii="Arial" w:hAnsi="Arial"/>
                <w:sz w:val="22"/>
                <w:szCs w:val="22"/>
              </w:rPr>
              <w:t>After two years in development with no sign-off, I joined the account, within six months re-wrote the Apps Hosting HLD and it passed JRM and was approved by the MoD.</w:t>
            </w:r>
          </w:p>
        </w:tc>
      </w:tr>
      <w:tr>
        <w:trPr/>
        <w:tc>
          <w:tcPr>
            <w:tcW w:w="10547" w:type="dxa"/>
            <w:gridSpan w:val="2"/>
            <w:tcBorders>
              <w:top w:val="single" w:sz="6" w:space="0" w:color="000000"/>
              <w:left w:val="single" w:sz="4" w:space="0" w:color="000000"/>
              <w:bottom w:val="single" w:sz="6" w:space="0" w:color="000000"/>
              <w:right w:val="single" w:sz="4" w:space="0" w:color="000000"/>
            </w:tcBorders>
            <w:shd w:color="auto" w:fill="B8CCE4" w:themeFill="accent1" w:themeFillTint="66" w:val="clear"/>
          </w:tcPr>
          <w:p>
            <w:pPr>
              <w:pStyle w:val="Heading3"/>
              <w:spacing w:before="40" w:after="0"/>
              <w:rPr>
                <w:rFonts w:ascii="Arial" w:hAnsi="Arial" w:cs="Arial"/>
                <w:b/>
                <w:b/>
                <w:sz w:val="22"/>
                <w:szCs w:val="22"/>
              </w:rPr>
            </w:pPr>
            <w:r>
              <w:rPr>
                <w:rFonts w:cs="Arial" w:ascii="Arial" w:hAnsi="Arial"/>
                <w:b/>
                <w:sz w:val="22"/>
                <w:szCs w:val="22"/>
              </w:rPr>
              <w:t>Lead Technical Development</w:t>
            </w:r>
          </w:p>
          <w:p>
            <w:pPr>
              <w:pStyle w:val="Heading3"/>
              <w:rPr>
                <w:rFonts w:ascii="Arial" w:hAnsi="Arial" w:cs="Arial"/>
                <w:sz w:val="22"/>
                <w:szCs w:val="22"/>
              </w:rPr>
            </w:pPr>
            <w:r>
              <w:rPr>
                <w:rFonts w:cs="Arial" w:ascii="Arial" w:hAnsi="Arial"/>
                <w:sz w:val="22"/>
                <w:szCs w:val="22"/>
              </w:rPr>
              <w:t>BP&amp;D Account: Verizon (formerly MCI) – Aug 2004 to Jul 2007</w:t>
            </w:r>
          </w:p>
        </w:tc>
      </w:tr>
      <w:tr>
        <w:trPr/>
        <w:tc>
          <w:tcPr>
            <w:tcW w:w="1807" w:type="dxa"/>
            <w:tcBorders>
              <w:top w:val="single" w:sz="6" w:space="0" w:color="000000"/>
              <w:left w:val="single" w:sz="4" w:space="0" w:color="000000"/>
              <w:bottom w:val="single" w:sz="6" w:space="0" w:color="000000"/>
              <w:right w:val="single" w:sz="6" w:space="0" w:color="000000"/>
            </w:tcBorders>
            <w:shd w:color="auto" w:fill="auto" w:val="clear"/>
          </w:tcPr>
          <w:p>
            <w:pPr>
              <w:pStyle w:val="Normal"/>
              <w:spacing w:before="0" w:after="160"/>
              <w:rPr>
                <w:rFonts w:ascii="Arial" w:hAnsi="Arial" w:cs="Arial"/>
              </w:rPr>
            </w:pPr>
            <w:r>
              <w:rPr>
                <w:rFonts w:cs="Arial" w:ascii="Arial" w:hAnsi="Arial"/>
              </w:rPr>
              <w:t>Project</w:t>
            </w:r>
          </w:p>
        </w:tc>
        <w:tc>
          <w:tcPr>
            <w:tcW w:w="8740" w:type="dxa"/>
            <w:tcBorders>
              <w:top w:val="single" w:sz="6" w:space="0" w:color="000000"/>
              <w:left w:val="single" w:sz="6" w:space="0" w:color="000000"/>
              <w:bottom w:val="single" w:sz="6" w:space="0" w:color="000000"/>
              <w:right w:val="single" w:sz="4" w:space="0" w:color="000000"/>
            </w:tcBorders>
            <w:shd w:color="auto" w:fill="auto" w:val="clear"/>
          </w:tcPr>
          <w:p>
            <w:pPr>
              <w:pStyle w:val="Normal"/>
              <w:spacing w:before="0" w:after="160"/>
              <w:rPr>
                <w:rFonts w:ascii="Arial" w:hAnsi="Arial" w:cs="Arial"/>
              </w:rPr>
            </w:pPr>
            <w:r>
              <w:rPr>
                <w:rFonts w:cs="Arial" w:ascii="Arial" w:hAnsi="Arial"/>
              </w:rPr>
              <w:t>Billing Printing and Dispatch (BP&amp;D - Caxton)</w:t>
            </w:r>
          </w:p>
        </w:tc>
      </w:tr>
      <w:tr>
        <w:trPr/>
        <w:tc>
          <w:tcPr>
            <w:tcW w:w="1807" w:type="dxa"/>
            <w:tcBorders>
              <w:top w:val="single" w:sz="6" w:space="0" w:color="000000"/>
              <w:left w:val="single" w:sz="4" w:space="0" w:color="000000"/>
              <w:bottom w:val="single" w:sz="6" w:space="0" w:color="000000"/>
              <w:right w:val="single" w:sz="6" w:space="0" w:color="000000"/>
            </w:tcBorders>
            <w:shd w:color="auto" w:fill="auto" w:val="clear"/>
          </w:tcPr>
          <w:p>
            <w:pPr>
              <w:pStyle w:val="Normal"/>
              <w:spacing w:before="0" w:after="160"/>
              <w:rPr>
                <w:rFonts w:ascii="Arial" w:hAnsi="Arial" w:cs="Arial"/>
              </w:rPr>
            </w:pPr>
            <w:r>
              <w:rPr>
                <w:rFonts w:cs="Arial" w:ascii="Arial" w:hAnsi="Arial"/>
              </w:rPr>
              <w:t>Responsibilities</w:t>
            </w:r>
          </w:p>
        </w:tc>
        <w:tc>
          <w:tcPr>
            <w:tcW w:w="8740" w:type="dxa"/>
            <w:tcBorders>
              <w:top w:val="single" w:sz="6" w:space="0" w:color="000000"/>
              <w:left w:val="single" w:sz="6" w:space="0" w:color="000000"/>
              <w:bottom w:val="single" w:sz="6" w:space="0" w:color="000000"/>
              <w:right w:val="single" w:sz="4" w:space="0" w:color="000000"/>
            </w:tcBorders>
            <w:shd w:color="auto" w:fill="auto" w:val="clear"/>
          </w:tcPr>
          <w:p>
            <w:pPr>
              <w:pStyle w:val="TableBullet"/>
              <w:numPr>
                <w:ilvl w:val="0"/>
                <w:numId w:val="1"/>
              </w:numPr>
              <w:spacing w:before="0" w:after="0"/>
              <w:ind w:left="312" w:hanging="312"/>
              <w:rPr>
                <w:rFonts w:ascii="Arial" w:hAnsi="Arial" w:cs="Arial"/>
                <w:sz w:val="22"/>
                <w:szCs w:val="22"/>
              </w:rPr>
            </w:pPr>
            <w:r>
              <w:rPr>
                <w:rFonts w:cs="Arial" w:ascii="Arial" w:hAnsi="Arial"/>
                <w:sz w:val="22"/>
                <w:szCs w:val="22"/>
              </w:rPr>
              <w:t>Lead new design and development for all BP&amp;D Caxton applications</w:t>
            </w:r>
          </w:p>
          <w:p>
            <w:pPr>
              <w:pStyle w:val="TableBullet"/>
              <w:numPr>
                <w:ilvl w:val="0"/>
                <w:numId w:val="1"/>
              </w:numPr>
              <w:spacing w:before="0" w:after="0"/>
              <w:ind w:left="312" w:hanging="312"/>
              <w:rPr>
                <w:rFonts w:ascii="Arial" w:hAnsi="Arial" w:cs="Arial"/>
                <w:sz w:val="22"/>
                <w:szCs w:val="22"/>
              </w:rPr>
            </w:pPr>
            <w:r>
              <w:rPr>
                <w:rFonts w:cs="Arial" w:ascii="Arial" w:hAnsi="Arial"/>
                <w:sz w:val="22"/>
                <w:szCs w:val="22"/>
              </w:rPr>
              <w:t>Lead on-going support for all BP&amp;D Caxton applications</w:t>
            </w:r>
          </w:p>
        </w:tc>
      </w:tr>
      <w:tr>
        <w:trPr/>
        <w:tc>
          <w:tcPr>
            <w:tcW w:w="1807" w:type="dxa"/>
            <w:tcBorders>
              <w:top w:val="single" w:sz="6" w:space="0" w:color="000000"/>
              <w:left w:val="single" w:sz="4" w:space="0" w:color="000000"/>
              <w:bottom w:val="single" w:sz="6" w:space="0" w:color="000000"/>
              <w:right w:val="single" w:sz="6" w:space="0" w:color="000000"/>
            </w:tcBorders>
            <w:shd w:color="auto" w:fill="auto" w:val="clear"/>
          </w:tcPr>
          <w:p>
            <w:pPr>
              <w:pStyle w:val="Normal"/>
              <w:spacing w:before="0" w:after="160"/>
              <w:rPr>
                <w:rFonts w:ascii="Arial" w:hAnsi="Arial" w:cs="Arial"/>
              </w:rPr>
            </w:pPr>
            <w:r>
              <w:rPr>
                <w:rFonts w:cs="Arial" w:ascii="Arial" w:hAnsi="Arial"/>
              </w:rPr>
              <w:t>Achievements</w:t>
            </w:r>
          </w:p>
        </w:tc>
        <w:tc>
          <w:tcPr>
            <w:tcW w:w="8740" w:type="dxa"/>
            <w:tcBorders>
              <w:top w:val="single" w:sz="6" w:space="0" w:color="000000"/>
              <w:left w:val="single" w:sz="6" w:space="0" w:color="000000"/>
              <w:bottom w:val="single" w:sz="6" w:space="0" w:color="000000"/>
              <w:right w:val="single" w:sz="4" w:space="0" w:color="000000"/>
            </w:tcBorders>
            <w:shd w:color="auto" w:fill="auto" w:val="clear"/>
          </w:tcPr>
          <w:p>
            <w:pPr>
              <w:pStyle w:val="TableBullet"/>
              <w:numPr>
                <w:ilvl w:val="0"/>
                <w:numId w:val="0"/>
              </w:numPr>
              <w:spacing w:before="60" w:after="60"/>
              <w:ind w:left="0" w:hanging="0"/>
              <w:rPr>
                <w:rFonts w:ascii="Arial" w:hAnsi="Arial" w:cs="Arial"/>
                <w:sz w:val="22"/>
                <w:szCs w:val="22"/>
              </w:rPr>
            </w:pPr>
            <w:r>
              <w:rPr>
                <w:rFonts w:cs="Arial" w:ascii="Arial" w:hAnsi="Arial"/>
                <w:sz w:val="22"/>
                <w:szCs w:val="22"/>
              </w:rPr>
              <w:t>I fixed a large number of bugs with “Caxton” (Java) application which we inherited. I consistently delivered on spec, time and budget integration of new feeds to BP&amp;D, and from global (mostly EMEA) 3</w:t>
            </w:r>
            <w:r>
              <w:rPr>
                <w:rFonts w:cs="Arial" w:ascii="Arial" w:hAnsi="Arial"/>
                <w:sz w:val="22"/>
                <w:szCs w:val="22"/>
                <w:vertAlign w:val="superscript"/>
              </w:rPr>
              <w:t>rd</w:t>
            </w:r>
            <w:r>
              <w:rPr>
                <w:rFonts w:cs="Arial" w:ascii="Arial" w:hAnsi="Arial"/>
                <w:sz w:val="22"/>
                <w:szCs w:val="22"/>
              </w:rPr>
              <w:t xml:space="preserve"> party wholesale and reseller network providers.</w:t>
            </w:r>
          </w:p>
        </w:tc>
      </w:tr>
      <w:tr>
        <w:trPr/>
        <w:tc>
          <w:tcPr>
            <w:tcW w:w="10547" w:type="dxa"/>
            <w:gridSpan w:val="2"/>
            <w:tcBorders>
              <w:top w:val="single" w:sz="6" w:space="0" w:color="000000"/>
              <w:left w:val="single" w:sz="4" w:space="0" w:color="000000"/>
              <w:bottom w:val="single" w:sz="6" w:space="0" w:color="000000"/>
              <w:right w:val="single" w:sz="4" w:space="0" w:color="000000"/>
            </w:tcBorders>
            <w:shd w:color="auto" w:fill="B8CCE4" w:themeFill="accent1" w:themeFillTint="66" w:val="clear"/>
          </w:tcPr>
          <w:p>
            <w:pPr>
              <w:pStyle w:val="Heading3"/>
              <w:spacing w:before="40" w:after="0"/>
              <w:rPr>
                <w:rFonts w:ascii="Arial" w:hAnsi="Arial" w:cs="Arial"/>
                <w:b/>
                <w:b/>
                <w:sz w:val="22"/>
                <w:szCs w:val="22"/>
              </w:rPr>
            </w:pPr>
            <w:r>
              <w:rPr>
                <w:rFonts w:cs="Arial" w:ascii="Arial" w:hAnsi="Arial"/>
                <w:b/>
                <w:sz w:val="22"/>
                <w:szCs w:val="22"/>
              </w:rPr>
              <w:t>Global Applications architect</w:t>
            </w:r>
          </w:p>
          <w:p>
            <w:pPr>
              <w:pStyle w:val="Heading3"/>
              <w:rPr>
                <w:rFonts w:ascii="Arial" w:hAnsi="Arial" w:cs="Arial"/>
                <w:sz w:val="22"/>
                <w:szCs w:val="22"/>
              </w:rPr>
            </w:pPr>
            <w:r>
              <w:rPr>
                <w:rFonts w:cs="Arial" w:ascii="Arial" w:hAnsi="Arial"/>
                <w:sz w:val="22"/>
                <w:szCs w:val="22"/>
              </w:rPr>
              <w:t>EMEA Architects Practice: Aug 2002 to Jul Aug 2004</w:t>
            </w:r>
          </w:p>
        </w:tc>
      </w:tr>
      <w:tr>
        <w:trPr/>
        <w:tc>
          <w:tcPr>
            <w:tcW w:w="1807" w:type="dxa"/>
            <w:tcBorders>
              <w:top w:val="single" w:sz="6" w:space="0" w:color="000000"/>
              <w:left w:val="single" w:sz="4" w:space="0" w:color="000000"/>
              <w:bottom w:val="single" w:sz="6" w:space="0" w:color="000000"/>
              <w:right w:val="single" w:sz="6" w:space="0" w:color="000000"/>
            </w:tcBorders>
            <w:shd w:color="auto" w:fill="auto" w:val="clear"/>
          </w:tcPr>
          <w:p>
            <w:pPr>
              <w:pStyle w:val="Normal"/>
              <w:spacing w:before="0" w:after="160"/>
              <w:rPr>
                <w:rFonts w:ascii="Arial" w:hAnsi="Arial" w:cs="Arial"/>
              </w:rPr>
            </w:pPr>
            <w:r>
              <w:rPr>
                <w:rFonts w:cs="Arial" w:ascii="Arial" w:hAnsi="Arial"/>
              </w:rPr>
              <w:t>Project</w:t>
            </w:r>
          </w:p>
        </w:tc>
        <w:tc>
          <w:tcPr>
            <w:tcW w:w="8740" w:type="dxa"/>
            <w:tcBorders>
              <w:top w:val="single" w:sz="6" w:space="0" w:color="000000"/>
              <w:left w:val="single" w:sz="6" w:space="0" w:color="000000"/>
              <w:bottom w:val="single" w:sz="6" w:space="0" w:color="000000"/>
              <w:right w:val="single" w:sz="4" w:space="0" w:color="000000"/>
            </w:tcBorders>
            <w:shd w:color="auto" w:fill="auto" w:val="clear"/>
          </w:tcPr>
          <w:p>
            <w:pPr>
              <w:pStyle w:val="Normal"/>
              <w:spacing w:before="0" w:after="160"/>
              <w:rPr>
                <w:rFonts w:ascii="Arial" w:hAnsi="Arial" w:cs="Arial"/>
              </w:rPr>
            </w:pPr>
            <w:r>
              <w:rPr>
                <w:rFonts w:cs="Arial" w:ascii="Arial" w:hAnsi="Arial"/>
              </w:rPr>
              <w:t>EMEA Architects</w:t>
            </w:r>
          </w:p>
        </w:tc>
      </w:tr>
      <w:tr>
        <w:trPr/>
        <w:tc>
          <w:tcPr>
            <w:tcW w:w="1807" w:type="dxa"/>
            <w:tcBorders>
              <w:top w:val="single" w:sz="6" w:space="0" w:color="000000"/>
              <w:left w:val="single" w:sz="4" w:space="0" w:color="000000"/>
              <w:bottom w:val="single" w:sz="6" w:space="0" w:color="000000"/>
              <w:right w:val="single" w:sz="6" w:space="0" w:color="000000"/>
            </w:tcBorders>
            <w:shd w:color="auto" w:fill="auto" w:val="clear"/>
          </w:tcPr>
          <w:p>
            <w:pPr>
              <w:pStyle w:val="Normal"/>
              <w:spacing w:before="0" w:after="160"/>
              <w:rPr>
                <w:rFonts w:ascii="Arial" w:hAnsi="Arial" w:cs="Arial"/>
              </w:rPr>
            </w:pPr>
            <w:r>
              <w:rPr>
                <w:rFonts w:cs="Arial" w:ascii="Arial" w:hAnsi="Arial"/>
              </w:rPr>
              <w:t>Responsibilities</w:t>
            </w:r>
          </w:p>
        </w:tc>
        <w:tc>
          <w:tcPr>
            <w:tcW w:w="8740" w:type="dxa"/>
            <w:tcBorders>
              <w:top w:val="single" w:sz="6" w:space="0" w:color="000000"/>
              <w:left w:val="single" w:sz="6" w:space="0" w:color="000000"/>
              <w:bottom w:val="single" w:sz="6" w:space="0" w:color="000000"/>
              <w:right w:val="single" w:sz="4" w:space="0" w:color="000000"/>
            </w:tcBorders>
            <w:shd w:color="auto" w:fill="auto" w:val="clear"/>
          </w:tcPr>
          <w:p>
            <w:pPr>
              <w:pStyle w:val="TableBullet"/>
              <w:numPr>
                <w:ilvl w:val="0"/>
                <w:numId w:val="1"/>
              </w:numPr>
              <w:spacing w:before="60" w:after="0"/>
              <w:ind w:left="312" w:hanging="312"/>
              <w:rPr>
                <w:rFonts w:ascii="Arial" w:hAnsi="Arial" w:cs="Arial"/>
                <w:sz w:val="22"/>
                <w:szCs w:val="22"/>
              </w:rPr>
            </w:pPr>
            <w:r>
              <w:rPr>
                <w:rFonts w:cs="Arial" w:ascii="Arial" w:hAnsi="Arial"/>
                <w:sz w:val="22"/>
                <w:szCs w:val="22"/>
              </w:rPr>
              <w:t>adidas: We worked on an architecture consolidation (at adidas Germany HQ).</w:t>
            </w:r>
          </w:p>
          <w:p>
            <w:pPr>
              <w:pStyle w:val="TableBullet"/>
              <w:numPr>
                <w:ilvl w:val="0"/>
                <w:numId w:val="1"/>
              </w:numPr>
              <w:spacing w:before="60" w:after="0"/>
              <w:ind w:left="312" w:hanging="312"/>
              <w:rPr>
                <w:rFonts w:ascii="Arial" w:hAnsi="Arial" w:cs="Arial"/>
                <w:sz w:val="22"/>
                <w:szCs w:val="22"/>
              </w:rPr>
            </w:pPr>
            <w:r>
              <w:rPr>
                <w:rFonts w:cs="Arial" w:ascii="Arial" w:hAnsi="Arial"/>
                <w:sz w:val="22"/>
                <w:szCs w:val="22"/>
              </w:rPr>
              <w:t>British Airways : In additional to supporting the lead architect, I developed a demonstrator for handheld/mobile technology to showcase the use of handheld devices (an iPaq PocketPC) in the customers business process.</w:t>
            </w:r>
          </w:p>
          <w:p>
            <w:pPr>
              <w:pStyle w:val="TableBullet"/>
              <w:numPr>
                <w:ilvl w:val="0"/>
                <w:numId w:val="1"/>
              </w:numPr>
              <w:spacing w:before="60" w:after="0"/>
              <w:ind w:left="312" w:hanging="312"/>
              <w:rPr>
                <w:rFonts w:ascii="Arial" w:hAnsi="Arial" w:cs="Arial"/>
                <w:sz w:val="22"/>
                <w:szCs w:val="22"/>
              </w:rPr>
            </w:pPr>
            <w:r>
              <w:rPr>
                <w:rFonts w:cs="Arial" w:ascii="Arial" w:hAnsi="Arial"/>
                <w:sz w:val="22"/>
                <w:szCs w:val="22"/>
              </w:rPr>
              <w:t xml:space="preserve">myCOE: I worked with business on the requirements, with the Enterprise Architect on the design of the myChoices piece and I drew up the development schedule.  I was the design lead for myChoices, writing functional specifications, the database design, use cases etc.  I lead the development team (based in Vancouver, Canada) and oversaw the development of myCOE, with especial focus on myChoices and liaised with Microsoft (in Redmond, Seattle, USA) in the technical side of the relationship (BizTalk specifications).  </w:t>
            </w:r>
          </w:p>
        </w:tc>
      </w:tr>
      <w:tr>
        <w:trPr/>
        <w:tc>
          <w:tcPr>
            <w:tcW w:w="1807" w:type="dxa"/>
            <w:tcBorders>
              <w:top w:val="single" w:sz="6" w:space="0" w:color="000000"/>
              <w:left w:val="single" w:sz="4" w:space="0" w:color="000000"/>
              <w:bottom w:val="single" w:sz="6" w:space="0" w:color="000000"/>
              <w:right w:val="single" w:sz="6" w:space="0" w:color="000000"/>
            </w:tcBorders>
            <w:shd w:color="auto" w:fill="auto" w:val="clear"/>
          </w:tcPr>
          <w:p>
            <w:pPr>
              <w:pStyle w:val="Normal"/>
              <w:spacing w:before="0" w:after="160"/>
              <w:rPr>
                <w:rFonts w:ascii="Arial" w:hAnsi="Arial" w:cs="Arial"/>
              </w:rPr>
            </w:pPr>
            <w:r>
              <w:rPr>
                <w:rFonts w:cs="Arial" w:ascii="Arial" w:hAnsi="Arial"/>
              </w:rPr>
              <w:t>Achievements</w:t>
            </w:r>
          </w:p>
        </w:tc>
        <w:tc>
          <w:tcPr>
            <w:tcW w:w="8740" w:type="dxa"/>
            <w:tcBorders>
              <w:top w:val="single" w:sz="6" w:space="0" w:color="000000"/>
              <w:left w:val="single" w:sz="6" w:space="0" w:color="000000"/>
              <w:bottom w:val="single" w:sz="6" w:space="0" w:color="000000"/>
              <w:right w:val="single" w:sz="4" w:space="0" w:color="000000"/>
            </w:tcBorders>
            <w:shd w:color="auto" w:fill="auto" w:val="clear"/>
          </w:tcPr>
          <w:p>
            <w:pPr>
              <w:pStyle w:val="TableBullet"/>
              <w:numPr>
                <w:ilvl w:val="0"/>
                <w:numId w:val="0"/>
              </w:numPr>
              <w:spacing w:before="60" w:after="60"/>
              <w:ind w:left="0" w:hanging="0"/>
              <w:rPr>
                <w:rFonts w:ascii="Arial" w:hAnsi="Arial" w:cs="Arial"/>
                <w:sz w:val="22"/>
                <w:szCs w:val="22"/>
              </w:rPr>
            </w:pPr>
            <w:r>
              <w:rPr>
                <w:rFonts w:cs="Arial" w:ascii="Arial" w:hAnsi="Arial"/>
                <w:sz w:val="22"/>
                <w:szCs w:val="22"/>
              </w:rPr>
              <w:t xml:space="preserve">Assisted adidas in their server consolidation, including their first Linux server farm and my BA hand-held demonstrator application helped us win the bid. myCOE was so well received the Enterprise Architect on it was promoted to an EDS (now HP) Fellow and was also granted a US and EU Software Patent on the concept.  </w:t>
            </w:r>
          </w:p>
        </w:tc>
      </w:tr>
      <w:tr>
        <w:trPr/>
        <w:tc>
          <w:tcPr>
            <w:tcW w:w="10547" w:type="dxa"/>
            <w:gridSpan w:val="2"/>
            <w:tcBorders>
              <w:top w:val="single" w:sz="6" w:space="0" w:color="000000"/>
              <w:left w:val="single" w:sz="4" w:space="0" w:color="000000"/>
              <w:bottom w:val="single" w:sz="6" w:space="0" w:color="000000"/>
              <w:right w:val="single" w:sz="4" w:space="0" w:color="000000"/>
            </w:tcBorders>
            <w:shd w:color="auto" w:fill="B8CCE4" w:themeFill="accent1" w:themeFillTint="66" w:val="clear"/>
          </w:tcPr>
          <w:p>
            <w:pPr>
              <w:pStyle w:val="Heading3"/>
              <w:spacing w:before="40" w:after="0"/>
              <w:rPr>
                <w:rFonts w:ascii="Arial" w:hAnsi="Arial" w:cs="Arial"/>
                <w:b/>
                <w:b/>
                <w:sz w:val="22"/>
                <w:szCs w:val="22"/>
              </w:rPr>
            </w:pPr>
            <w:r>
              <w:rPr>
                <w:rFonts w:cs="Arial" w:ascii="Arial" w:hAnsi="Arial"/>
                <w:b/>
                <w:sz w:val="22"/>
                <w:szCs w:val="22"/>
              </w:rPr>
              <w:t>Technical lead and developer</w:t>
            </w:r>
          </w:p>
          <w:p>
            <w:pPr>
              <w:pStyle w:val="Heading3"/>
              <w:rPr>
                <w:rFonts w:ascii="Arial" w:hAnsi="Arial" w:cs="Arial"/>
                <w:sz w:val="22"/>
                <w:szCs w:val="22"/>
              </w:rPr>
            </w:pPr>
            <w:r>
              <w:rPr>
                <w:rFonts w:cs="Arial" w:ascii="Arial" w:hAnsi="Arial"/>
                <w:sz w:val="22"/>
                <w:szCs w:val="22"/>
              </w:rPr>
              <w:t>GME Automotive Delivery Solution Centre: Sep 1999 to Jul 2002</w:t>
            </w:r>
          </w:p>
        </w:tc>
      </w:tr>
      <w:tr>
        <w:trPr/>
        <w:tc>
          <w:tcPr>
            <w:tcW w:w="1807" w:type="dxa"/>
            <w:tcBorders>
              <w:top w:val="single" w:sz="6" w:space="0" w:color="000000"/>
              <w:left w:val="single" w:sz="4" w:space="0" w:color="000000"/>
              <w:bottom w:val="single" w:sz="6" w:space="0" w:color="000000"/>
              <w:right w:val="single" w:sz="6" w:space="0" w:color="000000"/>
            </w:tcBorders>
            <w:shd w:color="auto" w:fill="auto" w:val="clear"/>
          </w:tcPr>
          <w:p>
            <w:pPr>
              <w:pStyle w:val="Normal"/>
              <w:spacing w:before="0" w:after="160"/>
              <w:rPr>
                <w:rFonts w:ascii="Arial" w:hAnsi="Arial" w:cs="Arial"/>
              </w:rPr>
            </w:pPr>
            <w:r>
              <w:rPr>
                <w:rFonts w:cs="Arial" w:ascii="Arial" w:hAnsi="Arial"/>
              </w:rPr>
              <w:t>Project</w:t>
            </w:r>
          </w:p>
        </w:tc>
        <w:tc>
          <w:tcPr>
            <w:tcW w:w="8740" w:type="dxa"/>
            <w:tcBorders>
              <w:top w:val="single" w:sz="6" w:space="0" w:color="000000"/>
              <w:left w:val="single" w:sz="6" w:space="0" w:color="000000"/>
              <w:bottom w:val="single" w:sz="6" w:space="0" w:color="000000"/>
              <w:right w:val="single" w:sz="4" w:space="0" w:color="000000"/>
            </w:tcBorders>
            <w:shd w:color="auto" w:fill="auto" w:val="clear"/>
          </w:tcPr>
          <w:p>
            <w:pPr>
              <w:pStyle w:val="Normal"/>
              <w:spacing w:before="0" w:after="160"/>
              <w:rPr>
                <w:rFonts w:ascii="Arial" w:hAnsi="Arial" w:cs="Arial"/>
              </w:rPr>
            </w:pPr>
            <w:r>
              <w:rPr>
                <w:rFonts w:cs="Arial" w:ascii="Arial" w:hAnsi="Arial"/>
              </w:rPr>
              <w:t>E-Commerce Applications</w:t>
            </w:r>
          </w:p>
        </w:tc>
      </w:tr>
      <w:tr>
        <w:trPr/>
        <w:tc>
          <w:tcPr>
            <w:tcW w:w="1807" w:type="dxa"/>
            <w:tcBorders>
              <w:top w:val="single" w:sz="6" w:space="0" w:color="000000"/>
              <w:left w:val="single" w:sz="4" w:space="0" w:color="000000"/>
              <w:bottom w:val="single" w:sz="6" w:space="0" w:color="000000"/>
              <w:right w:val="single" w:sz="6" w:space="0" w:color="000000"/>
            </w:tcBorders>
            <w:shd w:color="auto" w:fill="auto" w:val="clear"/>
          </w:tcPr>
          <w:p>
            <w:pPr>
              <w:pStyle w:val="Normal"/>
              <w:spacing w:before="0" w:after="160"/>
              <w:rPr>
                <w:rFonts w:ascii="Arial" w:hAnsi="Arial" w:cs="Arial"/>
              </w:rPr>
            </w:pPr>
            <w:r>
              <w:rPr>
                <w:rFonts w:cs="Arial" w:ascii="Arial" w:hAnsi="Arial"/>
              </w:rPr>
              <w:t>Responsibilities</w:t>
            </w:r>
          </w:p>
        </w:tc>
        <w:tc>
          <w:tcPr>
            <w:tcW w:w="8740" w:type="dxa"/>
            <w:tcBorders>
              <w:top w:val="single" w:sz="6" w:space="0" w:color="000000"/>
              <w:left w:val="single" w:sz="6" w:space="0" w:color="000000"/>
              <w:bottom w:val="single" w:sz="6" w:space="0" w:color="000000"/>
              <w:right w:val="single" w:sz="4" w:space="0" w:color="000000"/>
            </w:tcBorders>
            <w:shd w:color="auto" w:fill="auto" w:val="clear"/>
          </w:tcPr>
          <w:p>
            <w:pPr>
              <w:pStyle w:val="TableBullet"/>
              <w:numPr>
                <w:ilvl w:val="0"/>
                <w:numId w:val="1"/>
              </w:numPr>
              <w:spacing w:before="60" w:after="0"/>
              <w:ind w:left="312" w:hanging="312"/>
              <w:rPr>
                <w:rFonts w:ascii="Arial" w:hAnsi="Arial" w:cs="Arial"/>
                <w:sz w:val="22"/>
                <w:szCs w:val="22"/>
              </w:rPr>
            </w:pPr>
            <w:r>
              <w:rPr>
                <w:rFonts w:cs="Arial" w:ascii="Arial" w:hAnsi="Arial"/>
                <w:sz w:val="22"/>
                <w:szCs w:val="22"/>
              </w:rPr>
              <w:t>Design and Technical lead for CTK (Consumerisation Tool Kit) Project</w:t>
            </w:r>
          </w:p>
          <w:p>
            <w:pPr>
              <w:pStyle w:val="TableBullet"/>
              <w:numPr>
                <w:ilvl w:val="0"/>
                <w:numId w:val="1"/>
              </w:numPr>
              <w:spacing w:before="60" w:after="0"/>
              <w:ind w:left="312" w:hanging="312"/>
              <w:rPr>
                <w:rFonts w:ascii="Arial" w:hAnsi="Arial" w:cs="Arial"/>
                <w:sz w:val="22"/>
                <w:szCs w:val="22"/>
              </w:rPr>
            </w:pPr>
            <w:r>
              <w:rPr>
                <w:rFonts w:cs="Arial" w:ascii="Arial" w:hAnsi="Arial"/>
                <w:sz w:val="22"/>
                <w:szCs w:val="22"/>
              </w:rPr>
              <w:t>Technical lead on WVC (Web Vehicle Configurator) project (Web and Java front end, Java middle tier and Oracle DB)</w:t>
            </w:r>
          </w:p>
          <w:p>
            <w:pPr>
              <w:pStyle w:val="TableBullet"/>
              <w:numPr>
                <w:ilvl w:val="0"/>
                <w:numId w:val="1"/>
              </w:numPr>
              <w:spacing w:before="60" w:after="0"/>
              <w:ind w:left="312" w:hanging="312"/>
              <w:rPr>
                <w:rFonts w:ascii="Arial" w:hAnsi="Arial" w:cs="Arial"/>
                <w:sz w:val="22"/>
                <w:szCs w:val="22"/>
              </w:rPr>
            </w:pPr>
            <w:r>
              <w:rPr>
                <w:rFonts w:cs="Arial" w:ascii="Arial" w:hAnsi="Arial"/>
                <w:sz w:val="22"/>
                <w:szCs w:val="22"/>
              </w:rPr>
              <w:t>Worked with customer on various JAD (Joint Application Development) projects</w:t>
            </w:r>
          </w:p>
        </w:tc>
      </w:tr>
      <w:tr>
        <w:trPr/>
        <w:tc>
          <w:tcPr>
            <w:tcW w:w="1807" w:type="dxa"/>
            <w:tcBorders>
              <w:top w:val="single" w:sz="6" w:space="0" w:color="000000"/>
              <w:left w:val="single" w:sz="4" w:space="0" w:color="000000"/>
              <w:bottom w:val="single" w:sz="6" w:space="0" w:color="000000"/>
              <w:right w:val="single" w:sz="6" w:space="0" w:color="000000"/>
            </w:tcBorders>
            <w:shd w:color="auto" w:fill="auto" w:val="clear"/>
          </w:tcPr>
          <w:p>
            <w:pPr>
              <w:pStyle w:val="Normal"/>
              <w:spacing w:before="0" w:after="160"/>
              <w:rPr>
                <w:rFonts w:ascii="Arial" w:hAnsi="Arial" w:cs="Arial"/>
              </w:rPr>
            </w:pPr>
            <w:r>
              <w:rPr>
                <w:rFonts w:cs="Arial" w:ascii="Arial" w:hAnsi="Arial"/>
              </w:rPr>
              <w:t>Achievements</w:t>
            </w:r>
          </w:p>
        </w:tc>
        <w:tc>
          <w:tcPr>
            <w:tcW w:w="8740" w:type="dxa"/>
            <w:tcBorders>
              <w:top w:val="single" w:sz="6" w:space="0" w:color="000000"/>
              <w:left w:val="single" w:sz="6" w:space="0" w:color="000000"/>
              <w:bottom w:val="single" w:sz="6" w:space="0" w:color="000000"/>
              <w:right w:val="single" w:sz="4" w:space="0" w:color="000000"/>
            </w:tcBorders>
            <w:shd w:color="auto" w:fill="auto" w:val="clear"/>
          </w:tcPr>
          <w:p>
            <w:pPr>
              <w:pStyle w:val="TableBullet"/>
              <w:numPr>
                <w:ilvl w:val="0"/>
                <w:numId w:val="1"/>
              </w:numPr>
              <w:spacing w:before="60" w:after="60"/>
              <w:ind w:left="0" w:hanging="312"/>
              <w:rPr>
                <w:rFonts w:ascii="Arial" w:hAnsi="Arial" w:cs="Arial"/>
                <w:sz w:val="22"/>
                <w:szCs w:val="22"/>
              </w:rPr>
            </w:pPr>
            <w:r>
              <w:rPr>
                <w:rFonts w:cs="Arial" w:ascii="Arial" w:hAnsi="Arial"/>
                <w:sz w:val="22"/>
                <w:szCs w:val="22"/>
              </w:rPr>
              <w:t xml:space="preserve">I designed a feature rich front end and asynchronous data access with backend, implemented with JSON objects and a bespoke applet.  </w:t>
            </w:r>
          </w:p>
        </w:tc>
      </w:tr>
      <w:tr>
        <w:trPr/>
        <w:tc>
          <w:tcPr>
            <w:tcW w:w="10547" w:type="dxa"/>
            <w:gridSpan w:val="2"/>
            <w:tcBorders>
              <w:top w:val="single" w:sz="6" w:space="0" w:color="000000"/>
              <w:left w:val="single" w:sz="4" w:space="0" w:color="000000"/>
              <w:bottom w:val="single" w:sz="6" w:space="0" w:color="000000"/>
              <w:right w:val="single" w:sz="4" w:space="0" w:color="000000"/>
            </w:tcBorders>
            <w:shd w:color="auto" w:fill="B8CCE4" w:themeFill="accent1" w:themeFillTint="66" w:val="clear"/>
          </w:tcPr>
          <w:p>
            <w:pPr>
              <w:pStyle w:val="Heading3"/>
              <w:spacing w:before="40" w:after="0"/>
              <w:rPr>
                <w:rFonts w:ascii="Arial" w:hAnsi="Arial" w:cs="Arial"/>
                <w:b/>
                <w:b/>
                <w:sz w:val="22"/>
                <w:szCs w:val="22"/>
              </w:rPr>
            </w:pPr>
            <w:r>
              <w:rPr>
                <w:rFonts w:cs="Arial" w:ascii="Arial" w:hAnsi="Arial"/>
                <w:b/>
                <w:sz w:val="22"/>
                <w:szCs w:val="22"/>
              </w:rPr>
              <w:t>Technical Consultancy</w:t>
            </w:r>
          </w:p>
          <w:p>
            <w:pPr>
              <w:pStyle w:val="Heading3"/>
              <w:rPr>
                <w:rFonts w:ascii="Arial" w:hAnsi="Arial" w:cs="Arial"/>
                <w:sz w:val="22"/>
                <w:szCs w:val="22"/>
              </w:rPr>
            </w:pPr>
            <w:r>
              <w:rPr>
                <w:rFonts w:cs="Arial" w:ascii="Arial" w:hAnsi="Arial"/>
                <w:sz w:val="22"/>
                <w:szCs w:val="22"/>
              </w:rPr>
              <w:t>GMAC Project P1500/GS Business Process Re-engineering: Aug 1995 to Sep 1999</w:t>
            </w:r>
          </w:p>
        </w:tc>
      </w:tr>
      <w:tr>
        <w:trPr/>
        <w:tc>
          <w:tcPr>
            <w:tcW w:w="1807" w:type="dxa"/>
            <w:tcBorders>
              <w:top w:val="single" w:sz="6" w:space="0" w:color="000000"/>
              <w:left w:val="single" w:sz="4" w:space="0" w:color="000000"/>
              <w:bottom w:val="single" w:sz="6" w:space="0" w:color="000000"/>
              <w:right w:val="single" w:sz="6" w:space="0" w:color="000000"/>
            </w:tcBorders>
            <w:shd w:color="auto" w:fill="auto" w:val="clear"/>
          </w:tcPr>
          <w:p>
            <w:pPr>
              <w:pStyle w:val="Normal"/>
              <w:spacing w:before="0" w:after="160"/>
              <w:rPr>
                <w:rFonts w:ascii="Arial" w:hAnsi="Arial" w:cs="Arial"/>
              </w:rPr>
            </w:pPr>
            <w:r>
              <w:rPr>
                <w:rFonts w:cs="Arial" w:ascii="Arial" w:hAnsi="Arial"/>
              </w:rPr>
              <w:t>Project</w:t>
            </w:r>
          </w:p>
        </w:tc>
        <w:tc>
          <w:tcPr>
            <w:tcW w:w="8740" w:type="dxa"/>
            <w:tcBorders>
              <w:top w:val="single" w:sz="6" w:space="0" w:color="000000"/>
              <w:left w:val="single" w:sz="6" w:space="0" w:color="000000"/>
              <w:bottom w:val="single" w:sz="6" w:space="0" w:color="000000"/>
              <w:right w:val="single" w:sz="4" w:space="0" w:color="000000"/>
            </w:tcBorders>
            <w:shd w:color="auto" w:fill="auto" w:val="clear"/>
          </w:tcPr>
          <w:p>
            <w:pPr>
              <w:pStyle w:val="Normal"/>
              <w:spacing w:before="0" w:after="160"/>
              <w:rPr>
                <w:rFonts w:ascii="Arial" w:hAnsi="Arial" w:cs="Arial"/>
              </w:rPr>
            </w:pPr>
            <w:r>
              <w:rPr>
                <w:rFonts w:cs="Arial" w:ascii="Arial" w:hAnsi="Arial"/>
              </w:rPr>
              <w:t>Business Process Re-engineering carried out by General Motors Acceptance Corporation (GMAC, a.k.a Opel Bank, a.k.a Vauxhall Finance)</w:t>
            </w:r>
          </w:p>
        </w:tc>
      </w:tr>
      <w:tr>
        <w:trPr/>
        <w:tc>
          <w:tcPr>
            <w:tcW w:w="1807" w:type="dxa"/>
            <w:tcBorders>
              <w:top w:val="single" w:sz="6" w:space="0" w:color="000000"/>
              <w:left w:val="single" w:sz="4" w:space="0" w:color="000000"/>
              <w:bottom w:val="single" w:sz="6" w:space="0" w:color="000000"/>
              <w:right w:val="single" w:sz="6" w:space="0" w:color="000000"/>
            </w:tcBorders>
            <w:shd w:color="auto" w:fill="auto" w:val="clear"/>
          </w:tcPr>
          <w:p>
            <w:pPr>
              <w:pStyle w:val="Normal"/>
              <w:spacing w:before="0" w:after="160"/>
              <w:rPr>
                <w:rFonts w:ascii="Arial" w:hAnsi="Arial" w:cs="Arial"/>
              </w:rPr>
            </w:pPr>
            <w:r>
              <w:rPr>
                <w:rFonts w:cs="Arial" w:ascii="Arial" w:hAnsi="Arial"/>
              </w:rPr>
              <w:t>Responsibilities</w:t>
            </w:r>
          </w:p>
        </w:tc>
        <w:tc>
          <w:tcPr>
            <w:tcW w:w="8740" w:type="dxa"/>
            <w:tcBorders>
              <w:top w:val="single" w:sz="6" w:space="0" w:color="000000"/>
              <w:left w:val="single" w:sz="6" w:space="0" w:color="000000"/>
              <w:bottom w:val="single" w:sz="6" w:space="0" w:color="000000"/>
              <w:right w:val="single" w:sz="4" w:space="0" w:color="000000"/>
            </w:tcBorders>
            <w:shd w:color="auto" w:fill="auto" w:val="clear"/>
          </w:tcPr>
          <w:p>
            <w:pPr>
              <w:pStyle w:val="TableBullet"/>
              <w:numPr>
                <w:ilvl w:val="0"/>
                <w:numId w:val="1"/>
              </w:numPr>
              <w:spacing w:before="60" w:after="0"/>
              <w:ind w:left="312" w:hanging="312"/>
              <w:rPr>
                <w:rFonts w:ascii="Arial" w:hAnsi="Arial" w:cs="Arial"/>
                <w:sz w:val="22"/>
                <w:szCs w:val="22"/>
              </w:rPr>
            </w:pPr>
            <w:r>
              <w:rPr>
                <w:rFonts w:cs="Arial" w:ascii="Arial" w:hAnsi="Arial"/>
                <w:sz w:val="22"/>
                <w:szCs w:val="22"/>
              </w:rPr>
              <w:t>Selection of the development toolset (Forté vs Oracle/2000 vs IEF Composer)</w:t>
            </w:r>
          </w:p>
          <w:p>
            <w:pPr>
              <w:pStyle w:val="TableBullet"/>
              <w:numPr>
                <w:ilvl w:val="0"/>
                <w:numId w:val="1"/>
              </w:numPr>
              <w:spacing w:before="60" w:after="0"/>
              <w:ind w:left="312" w:hanging="312"/>
              <w:rPr>
                <w:rFonts w:ascii="Arial" w:hAnsi="Arial" w:cs="Arial"/>
                <w:sz w:val="22"/>
                <w:szCs w:val="22"/>
              </w:rPr>
            </w:pPr>
            <w:r>
              <w:rPr>
                <w:rFonts w:cs="Arial" w:ascii="Arial" w:hAnsi="Arial"/>
                <w:sz w:val="22"/>
                <w:szCs w:val="22"/>
              </w:rPr>
              <w:t>Selection of Report writers (BusinessObjects vs OracleReports vs JetForm).</w:t>
            </w:r>
          </w:p>
          <w:p>
            <w:pPr>
              <w:pStyle w:val="TableBullet"/>
              <w:numPr>
                <w:ilvl w:val="0"/>
                <w:numId w:val="1"/>
              </w:numPr>
              <w:spacing w:before="60" w:after="0"/>
              <w:ind w:left="312" w:hanging="312"/>
              <w:rPr>
                <w:rFonts w:ascii="Arial" w:hAnsi="Arial" w:cs="Arial"/>
                <w:sz w:val="22"/>
                <w:szCs w:val="22"/>
              </w:rPr>
            </w:pPr>
            <w:r>
              <w:rPr>
                <w:rFonts w:cs="Arial" w:ascii="Arial" w:hAnsi="Arial"/>
                <w:sz w:val="22"/>
                <w:szCs w:val="22"/>
              </w:rPr>
              <w:t>I defined technical direction on many issues including technical infrastructure, multi-tier client-server design, the use of ORBs and many other technologies.</w:t>
            </w:r>
          </w:p>
          <w:p>
            <w:pPr>
              <w:pStyle w:val="TableBullet"/>
              <w:numPr>
                <w:ilvl w:val="0"/>
                <w:numId w:val="1"/>
              </w:numPr>
              <w:spacing w:before="60" w:after="0"/>
              <w:ind w:left="312" w:hanging="312"/>
              <w:rPr>
                <w:rFonts w:ascii="Arial" w:hAnsi="Arial" w:cs="Arial"/>
                <w:sz w:val="22"/>
                <w:szCs w:val="22"/>
              </w:rPr>
            </w:pPr>
            <w:r>
              <w:rPr>
                <w:rFonts w:cs="Arial" w:ascii="Arial" w:hAnsi="Arial"/>
                <w:sz w:val="22"/>
                <w:szCs w:val="22"/>
              </w:rPr>
              <w:t>I took the lead role in several teams carrying out investigations, design and code audits of 3rd party vendor software solutions for GMAC, and proof-of-concepts.</w:t>
            </w:r>
          </w:p>
        </w:tc>
      </w:tr>
      <w:tr>
        <w:trPr/>
        <w:tc>
          <w:tcPr>
            <w:tcW w:w="1807" w:type="dxa"/>
            <w:tcBorders>
              <w:top w:val="single" w:sz="6" w:space="0" w:color="000000"/>
              <w:left w:val="single" w:sz="4" w:space="0" w:color="000000"/>
              <w:bottom w:val="single" w:sz="6" w:space="0" w:color="000000"/>
              <w:right w:val="single" w:sz="6" w:space="0" w:color="000000"/>
            </w:tcBorders>
            <w:shd w:color="auto" w:fill="auto" w:val="clear"/>
          </w:tcPr>
          <w:p>
            <w:pPr>
              <w:pStyle w:val="Normal"/>
              <w:spacing w:before="0" w:after="160"/>
              <w:rPr>
                <w:rFonts w:ascii="Arial" w:hAnsi="Arial" w:cs="Arial"/>
              </w:rPr>
            </w:pPr>
            <w:r>
              <w:rPr>
                <w:rFonts w:cs="Arial" w:ascii="Arial" w:hAnsi="Arial"/>
              </w:rPr>
              <w:t>Achievements</w:t>
            </w:r>
          </w:p>
        </w:tc>
        <w:tc>
          <w:tcPr>
            <w:tcW w:w="8740" w:type="dxa"/>
            <w:tcBorders>
              <w:top w:val="single" w:sz="6" w:space="0" w:color="000000"/>
              <w:left w:val="single" w:sz="6" w:space="0" w:color="000000"/>
              <w:bottom w:val="single" w:sz="6" w:space="0" w:color="000000"/>
              <w:right w:val="single" w:sz="4" w:space="0" w:color="000000"/>
            </w:tcBorders>
            <w:shd w:color="auto" w:fill="auto" w:val="clear"/>
          </w:tcPr>
          <w:p>
            <w:pPr>
              <w:pStyle w:val="TableBullet"/>
              <w:numPr>
                <w:ilvl w:val="0"/>
                <w:numId w:val="0"/>
              </w:numPr>
              <w:spacing w:before="60" w:after="60"/>
              <w:ind w:left="0" w:hanging="0"/>
              <w:rPr>
                <w:rFonts w:ascii="Arial" w:hAnsi="Arial" w:cs="Arial"/>
                <w:sz w:val="22"/>
                <w:szCs w:val="22"/>
              </w:rPr>
            </w:pPr>
            <w:r>
              <w:rPr>
                <w:rFonts w:cs="Arial" w:ascii="Arial" w:hAnsi="Arial"/>
                <w:sz w:val="22"/>
                <w:szCs w:val="22"/>
              </w:rPr>
              <w:t>As the sole lead I reviewed and re-designed a challenging design (in Denmark) approved by both the third party (JDC Data) and GMAC.</w:t>
            </w:r>
          </w:p>
        </w:tc>
      </w:tr>
      <w:tr>
        <w:trPr/>
        <w:tc>
          <w:tcPr>
            <w:tcW w:w="10547" w:type="dxa"/>
            <w:gridSpan w:val="2"/>
            <w:tcBorders>
              <w:top w:val="single" w:sz="6" w:space="0" w:color="000000"/>
              <w:left w:val="single" w:sz="4" w:space="0" w:color="000000"/>
              <w:bottom w:val="single" w:sz="6" w:space="0" w:color="000000"/>
              <w:right w:val="single" w:sz="4" w:space="0" w:color="000000"/>
            </w:tcBorders>
            <w:shd w:color="auto" w:fill="B8CCE4" w:themeFill="accent1" w:themeFillTint="66" w:val="clear"/>
          </w:tcPr>
          <w:p>
            <w:pPr>
              <w:pStyle w:val="Heading3"/>
              <w:spacing w:before="40" w:after="0"/>
              <w:rPr>
                <w:rFonts w:ascii="Arial" w:hAnsi="Arial" w:cs="Arial"/>
                <w:b/>
                <w:b/>
                <w:sz w:val="22"/>
                <w:szCs w:val="22"/>
              </w:rPr>
            </w:pPr>
            <w:r>
              <w:rPr>
                <w:rFonts w:cs="Arial" w:ascii="Arial" w:hAnsi="Arial"/>
                <w:b/>
                <w:sz w:val="22"/>
                <w:szCs w:val="22"/>
              </w:rPr>
              <w:t>Technical Lead and Lead Developer</w:t>
            </w:r>
          </w:p>
          <w:p>
            <w:pPr>
              <w:pStyle w:val="Heading3"/>
              <w:rPr>
                <w:rFonts w:ascii="Arial" w:hAnsi="Arial" w:cs="Arial"/>
                <w:sz w:val="22"/>
                <w:szCs w:val="22"/>
              </w:rPr>
            </w:pPr>
            <w:r>
              <w:rPr>
                <w:rFonts w:cs="Arial" w:ascii="Arial" w:hAnsi="Arial"/>
                <w:sz w:val="22"/>
                <w:szCs w:val="22"/>
              </w:rPr>
              <w:t>Mortgage Origination and Securitisation System: BACOB Bank – Belgium, May 1993 to Sep 1995</w:t>
            </w:r>
          </w:p>
        </w:tc>
      </w:tr>
      <w:tr>
        <w:trPr/>
        <w:tc>
          <w:tcPr>
            <w:tcW w:w="1807" w:type="dxa"/>
            <w:tcBorders>
              <w:top w:val="single" w:sz="6" w:space="0" w:color="000000"/>
              <w:left w:val="single" w:sz="4" w:space="0" w:color="000000"/>
              <w:bottom w:val="single" w:sz="6" w:space="0" w:color="000000"/>
              <w:right w:val="single" w:sz="6" w:space="0" w:color="000000"/>
            </w:tcBorders>
            <w:shd w:color="auto" w:fill="auto" w:val="clear"/>
          </w:tcPr>
          <w:p>
            <w:pPr>
              <w:pStyle w:val="Normal"/>
              <w:spacing w:before="0" w:after="160"/>
              <w:rPr>
                <w:rFonts w:ascii="Arial" w:hAnsi="Arial" w:cs="Arial"/>
              </w:rPr>
            </w:pPr>
            <w:r>
              <w:rPr>
                <w:rFonts w:cs="Arial" w:ascii="Arial" w:hAnsi="Arial"/>
              </w:rPr>
              <w:t>Project</w:t>
            </w:r>
          </w:p>
        </w:tc>
        <w:tc>
          <w:tcPr>
            <w:tcW w:w="8740" w:type="dxa"/>
            <w:tcBorders>
              <w:top w:val="single" w:sz="6" w:space="0" w:color="000000"/>
              <w:left w:val="single" w:sz="6" w:space="0" w:color="000000"/>
              <w:bottom w:val="single" w:sz="6" w:space="0" w:color="000000"/>
              <w:right w:val="single" w:sz="4" w:space="0" w:color="000000"/>
            </w:tcBorders>
            <w:shd w:color="auto" w:fill="auto" w:val="clear"/>
          </w:tcPr>
          <w:p>
            <w:pPr>
              <w:pStyle w:val="Normal"/>
              <w:spacing w:before="0" w:after="160"/>
              <w:rPr>
                <w:rFonts w:ascii="Arial" w:hAnsi="Arial" w:cs="Arial"/>
              </w:rPr>
            </w:pPr>
            <w:r>
              <w:rPr>
                <w:rFonts w:cs="Arial" w:ascii="Arial" w:hAnsi="Arial"/>
              </w:rPr>
              <w:t>Loan Origination and Securitisation project for the Belgium bank BACOB</w:t>
            </w:r>
          </w:p>
        </w:tc>
      </w:tr>
      <w:tr>
        <w:trPr/>
        <w:tc>
          <w:tcPr>
            <w:tcW w:w="1807" w:type="dxa"/>
            <w:tcBorders>
              <w:top w:val="single" w:sz="6" w:space="0" w:color="000000"/>
              <w:left w:val="single" w:sz="4" w:space="0" w:color="000000"/>
              <w:bottom w:val="single" w:sz="6" w:space="0" w:color="000000"/>
              <w:right w:val="single" w:sz="6" w:space="0" w:color="000000"/>
            </w:tcBorders>
            <w:shd w:color="auto" w:fill="auto" w:val="clear"/>
          </w:tcPr>
          <w:p>
            <w:pPr>
              <w:pStyle w:val="Normal"/>
              <w:spacing w:before="0" w:after="160"/>
              <w:rPr>
                <w:rFonts w:ascii="Arial" w:hAnsi="Arial" w:cs="Arial"/>
              </w:rPr>
            </w:pPr>
            <w:r>
              <w:rPr>
                <w:rFonts w:cs="Arial" w:ascii="Arial" w:hAnsi="Arial"/>
              </w:rPr>
              <w:t>Responsibilities</w:t>
            </w:r>
          </w:p>
        </w:tc>
        <w:tc>
          <w:tcPr>
            <w:tcW w:w="8740" w:type="dxa"/>
            <w:tcBorders>
              <w:top w:val="single" w:sz="6" w:space="0" w:color="000000"/>
              <w:left w:val="single" w:sz="6" w:space="0" w:color="000000"/>
              <w:bottom w:val="single" w:sz="6" w:space="0" w:color="000000"/>
              <w:right w:val="single" w:sz="4" w:space="0" w:color="000000"/>
            </w:tcBorders>
            <w:shd w:color="auto" w:fill="auto" w:val="clear"/>
          </w:tcPr>
          <w:p>
            <w:pPr>
              <w:pStyle w:val="TableBullet"/>
              <w:numPr>
                <w:ilvl w:val="0"/>
                <w:numId w:val="1"/>
              </w:numPr>
              <w:spacing w:before="60" w:after="0"/>
              <w:ind w:left="312" w:hanging="312"/>
              <w:rPr>
                <w:rFonts w:ascii="Arial" w:hAnsi="Arial" w:cs="Arial"/>
                <w:sz w:val="22"/>
                <w:szCs w:val="22"/>
              </w:rPr>
            </w:pPr>
            <w:r>
              <w:rPr>
                <w:rFonts w:cs="Arial" w:ascii="Arial" w:hAnsi="Arial"/>
                <w:sz w:val="22"/>
                <w:szCs w:val="22"/>
              </w:rPr>
              <w:t>Analysis, Design and Implementation of PC Windows and UNIX Interface subsystems.</w:t>
            </w:r>
          </w:p>
          <w:p>
            <w:pPr>
              <w:pStyle w:val="TableBullet"/>
              <w:numPr>
                <w:ilvl w:val="0"/>
                <w:numId w:val="1"/>
              </w:numPr>
              <w:spacing w:before="60" w:after="0"/>
              <w:ind w:left="312" w:hanging="312"/>
              <w:rPr>
                <w:rFonts w:ascii="Arial" w:hAnsi="Arial" w:cs="Arial"/>
                <w:sz w:val="22"/>
                <w:szCs w:val="22"/>
              </w:rPr>
            </w:pPr>
            <w:r>
              <w:rPr>
                <w:rFonts w:cs="Arial" w:ascii="Arial" w:hAnsi="Arial"/>
                <w:sz w:val="22"/>
                <w:szCs w:val="22"/>
              </w:rPr>
              <w:t>I coded in PowerBuilder (for the GUI interface - FrontOffice application), Microsoft C++ and C with SDK (for the interface objects and communications DLLs on PC).  C and I4GL, ESQL/C (Informix) and UNIX Shell Scripts (korn shell) for the batch cycle on a UNIX box (BackOffice applications).</w:t>
            </w:r>
          </w:p>
          <w:p>
            <w:pPr>
              <w:pStyle w:val="TableBullet"/>
              <w:numPr>
                <w:ilvl w:val="0"/>
                <w:numId w:val="1"/>
              </w:numPr>
              <w:spacing w:before="60" w:after="0"/>
              <w:ind w:left="312" w:hanging="312"/>
              <w:rPr>
                <w:rFonts w:ascii="Arial" w:hAnsi="Arial" w:cs="Arial"/>
                <w:sz w:val="22"/>
                <w:szCs w:val="22"/>
              </w:rPr>
            </w:pPr>
            <w:r>
              <w:rPr>
                <w:rFonts w:cs="Arial" w:ascii="Arial" w:hAnsi="Arial"/>
                <w:sz w:val="22"/>
                <w:szCs w:val="22"/>
              </w:rPr>
              <w:t>On the PC I took a lead role in the design of the system and also coded interactive windows for credit scoring and the background communication processes.</w:t>
            </w:r>
          </w:p>
          <w:p>
            <w:pPr>
              <w:pStyle w:val="TableBullet"/>
              <w:numPr>
                <w:ilvl w:val="0"/>
                <w:numId w:val="1"/>
              </w:numPr>
              <w:spacing w:before="60" w:after="0"/>
              <w:ind w:left="312" w:hanging="312"/>
              <w:rPr>
                <w:rFonts w:ascii="Arial" w:hAnsi="Arial" w:cs="Arial"/>
                <w:sz w:val="22"/>
                <w:szCs w:val="22"/>
              </w:rPr>
            </w:pPr>
            <w:r>
              <w:rPr>
                <w:rFonts w:cs="Arial" w:ascii="Arial" w:hAnsi="Arial"/>
                <w:sz w:val="22"/>
                <w:szCs w:val="22"/>
              </w:rPr>
              <w:t>I also led the batch cycle development team, and on the UNIX box set project standards, coded interface and communications programs, and an entire batch entry/control subsystem with interactive screens to enable operators to run, monitor, restart etc, the batch system.</w:t>
            </w:r>
          </w:p>
        </w:tc>
      </w:tr>
      <w:tr>
        <w:trPr/>
        <w:tc>
          <w:tcPr>
            <w:tcW w:w="1807" w:type="dxa"/>
            <w:tcBorders>
              <w:top w:val="single" w:sz="6" w:space="0" w:color="000000"/>
              <w:left w:val="single" w:sz="4" w:space="0" w:color="000000"/>
              <w:bottom w:val="single" w:sz="4" w:space="0" w:color="000000"/>
              <w:right w:val="single" w:sz="6" w:space="0" w:color="000000"/>
            </w:tcBorders>
            <w:shd w:color="auto" w:fill="auto" w:val="clear"/>
          </w:tcPr>
          <w:p>
            <w:pPr>
              <w:pStyle w:val="Normal"/>
              <w:spacing w:before="0" w:after="160"/>
              <w:rPr>
                <w:rFonts w:ascii="Arial" w:hAnsi="Arial" w:cs="Arial"/>
              </w:rPr>
            </w:pPr>
            <w:r>
              <w:rPr>
                <w:rFonts w:cs="Arial" w:ascii="Arial" w:hAnsi="Arial"/>
              </w:rPr>
              <w:t>Achievements</w:t>
            </w:r>
          </w:p>
        </w:tc>
        <w:tc>
          <w:tcPr>
            <w:tcW w:w="8740" w:type="dxa"/>
            <w:tcBorders>
              <w:top w:val="single" w:sz="6" w:space="0" w:color="000000"/>
              <w:left w:val="single" w:sz="6" w:space="0" w:color="000000"/>
              <w:bottom w:val="single" w:sz="4" w:space="0" w:color="000000"/>
              <w:right w:val="single" w:sz="4" w:space="0" w:color="000000"/>
            </w:tcBorders>
            <w:shd w:color="auto" w:fill="auto" w:val="clear"/>
          </w:tcPr>
          <w:p>
            <w:pPr>
              <w:pStyle w:val="TableBullet"/>
              <w:numPr>
                <w:ilvl w:val="0"/>
                <w:numId w:val="0"/>
              </w:numPr>
              <w:spacing w:before="60" w:after="60"/>
              <w:ind w:left="0" w:hanging="0"/>
              <w:rPr>
                <w:rFonts w:ascii="Arial" w:hAnsi="Arial" w:cs="Arial"/>
                <w:sz w:val="22"/>
                <w:szCs w:val="22"/>
              </w:rPr>
            </w:pPr>
            <w:r>
              <w:rPr>
                <w:rFonts w:cs="Arial" w:ascii="Arial" w:hAnsi="Arial"/>
                <w:sz w:val="22"/>
                <w:szCs w:val="22"/>
              </w:rPr>
              <w:t>A new EU directive required changes in Mortgage systems, as the technical lead I delivered to BACOB their Loan Origination system on time and to spec.</w:t>
            </w:r>
          </w:p>
        </w:tc>
      </w:tr>
    </w:tbl>
    <w:p>
      <w:pPr>
        <w:pStyle w:val="Heading2"/>
        <w:rPr>
          <w:rFonts w:ascii="Arial" w:hAnsi="Arial" w:cs="Arial"/>
          <w:sz w:val="22"/>
          <w:szCs w:val="22"/>
        </w:rPr>
      </w:pPr>
      <w:r>
        <w:rPr>
          <w:rFonts w:cs="Arial" w:ascii="Arial" w:hAnsi="Arial"/>
          <w:sz w:val="22"/>
          <w:szCs w:val="22"/>
        </w:rPr>
      </w:r>
    </w:p>
    <w:p>
      <w:pPr>
        <w:pStyle w:val="Normal"/>
        <w:spacing w:before="0" w:after="160"/>
        <w:rPr>
          <w:rFonts w:ascii="Arial" w:hAnsi="Arial" w:cs="Arial"/>
          <w:b/>
          <w:b/>
        </w:rPr>
      </w:pPr>
      <w:r>
        <w:rPr>
          <w:rFonts w:cs="Arial" w:ascii="Arial" w:hAnsi="Arial"/>
          <w:b/>
        </w:rPr>
        <w:t>References are available on request.</w:t>
      </w:r>
    </w:p>
    <w:sectPr>
      <w:type w:val="nextPage"/>
      <w:pgSz w:w="11906" w:h="16838"/>
      <w:pgMar w:left="720" w:right="720" w:header="0" w:top="720" w:footer="0" w:bottom="72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Verdana">
    <w:charset w:val="01"/>
    <w:family w:val="roman"/>
    <w:pitch w:val="variable"/>
  </w:font>
  <w:font w:name="OpenSymbol">
    <w:altName w:val="Arial Unicode MS"/>
    <w:charset w:val="01"/>
    <w:family w:val="roman"/>
    <w:pitch w:val="variable"/>
  </w:font>
  <w:font w:name="Arial">
    <w:charset w:val="01"/>
    <w:family w:val="roman"/>
    <w:pitch w:val="variable"/>
  </w:font>
  <w:font w:name="Symbol">
    <w:charset w:val="02"/>
    <w:family w:val="auto"/>
    <w:pitch w:val="default"/>
  </w:font>
  <w:font w:name="Wingdings">
    <w:charset w:val="02"/>
    <w:family w:val="auto"/>
    <w:pitch w:val="default"/>
  </w:font>
  <w:font w:name="Courier New">
    <w:charset w:val="01"/>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customStyle="1">
    <w:name w:val="Normal"/>
    <w:qFormat/>
    <w:rsid w:val="007b6b0e"/>
    <w:pPr>
      <w:widowControl/>
      <w:suppressAutoHyphens w:val="true"/>
      <w:bidi w:val="0"/>
      <w:spacing w:lineRule="auto" w:line="252" w:before="0" w:after="160"/>
      <w:jc w:val="left"/>
    </w:pPr>
    <w:rPr>
      <w:rFonts w:ascii="Calibri" w:hAnsi="Calibri" w:eastAsia="DejaVu Sans" w:cs="" w:asciiTheme="minorHAnsi" w:cstheme="minorBidi" w:hAnsiTheme="minorHAnsi"/>
      <w:color w:val="auto"/>
      <w:kern w:val="0"/>
      <w:sz w:val="22"/>
      <w:szCs w:val="22"/>
      <w:lang w:val="en-US" w:eastAsia="en-US" w:bidi="ar-SA"/>
    </w:rPr>
  </w:style>
  <w:style w:type="paragraph" w:styleId="Heading1">
    <w:name w:val="Heading 1"/>
    <w:basedOn w:val="Normal"/>
    <w:qFormat/>
    <w:rsid w:val="007b6b0e"/>
    <w:pPr>
      <w:keepNext w:val="true"/>
      <w:keepLines/>
      <w:spacing w:lineRule="atLeast" w:line="100" w:before="240" w:after="40"/>
      <w:outlineLvl w:val="0"/>
    </w:pPr>
    <w:rPr>
      <w:rFonts w:ascii="Calibri Light" w:hAnsi="Calibri Light"/>
      <w:color w:val="1F4E79"/>
      <w:sz w:val="36"/>
      <w:szCs w:val="36"/>
    </w:rPr>
  </w:style>
  <w:style w:type="paragraph" w:styleId="Heading2">
    <w:name w:val="Heading 2"/>
    <w:basedOn w:val="Normal"/>
    <w:qFormat/>
    <w:rsid w:val="007b6b0e"/>
    <w:pPr>
      <w:keepNext w:val="true"/>
      <w:keepLines/>
      <w:spacing w:lineRule="atLeast" w:line="100" w:before="40" w:after="0"/>
      <w:outlineLvl w:val="1"/>
    </w:pPr>
    <w:rPr>
      <w:rFonts w:ascii="Calibri Light" w:hAnsi="Calibri Light"/>
      <w:color w:val="2E74B5"/>
      <w:sz w:val="32"/>
      <w:szCs w:val="32"/>
    </w:rPr>
  </w:style>
  <w:style w:type="paragraph" w:styleId="Heading3">
    <w:name w:val="Heading 3"/>
    <w:basedOn w:val="Normal"/>
    <w:qFormat/>
    <w:rsid w:val="007b6b0e"/>
    <w:pPr>
      <w:keepNext w:val="true"/>
      <w:keepLines/>
      <w:spacing w:lineRule="atLeast" w:line="100" w:before="40" w:after="0"/>
      <w:outlineLvl w:val="2"/>
    </w:pPr>
    <w:rPr>
      <w:rFonts w:ascii="Calibri Light" w:hAnsi="Calibri Light"/>
      <w:color w:val="000000"/>
      <w:sz w:val="28"/>
      <w:szCs w:val="28"/>
    </w:rPr>
  </w:style>
  <w:style w:type="paragraph" w:styleId="Heading4">
    <w:name w:val="Heading 4"/>
    <w:basedOn w:val="Normal"/>
    <w:qFormat/>
    <w:rsid w:val="007b6b0e"/>
    <w:pPr>
      <w:keepNext w:val="true"/>
      <w:keepLines/>
      <w:spacing w:before="40" w:after="0"/>
      <w:outlineLvl w:val="3"/>
    </w:pPr>
    <w:rPr>
      <w:rFonts w:ascii="Calibri Light" w:hAnsi="Calibri Light"/>
      <w:color w:val="2E74B5"/>
      <w:sz w:val="24"/>
      <w:szCs w:val="24"/>
    </w:rPr>
  </w:style>
  <w:style w:type="paragraph" w:styleId="Heading5">
    <w:name w:val="Heading 5"/>
    <w:basedOn w:val="Normal"/>
    <w:qFormat/>
    <w:rsid w:val="007b6b0e"/>
    <w:pPr>
      <w:keepNext w:val="true"/>
      <w:keepLines/>
      <w:spacing w:before="40" w:after="0"/>
      <w:outlineLvl w:val="4"/>
    </w:pPr>
    <w:rPr>
      <w:rFonts w:ascii="Calibri Light" w:hAnsi="Calibri Light"/>
      <w:caps/>
      <w:color w:val="2E74B5"/>
    </w:rPr>
  </w:style>
  <w:style w:type="paragraph" w:styleId="Heading6">
    <w:name w:val="Heading 6"/>
    <w:basedOn w:val="Normal"/>
    <w:qFormat/>
    <w:rsid w:val="007b6b0e"/>
    <w:pPr>
      <w:keepNext w:val="true"/>
      <w:keepLines/>
      <w:spacing w:before="40" w:after="0"/>
      <w:outlineLvl w:val="5"/>
    </w:pPr>
    <w:rPr>
      <w:rFonts w:ascii="Calibri Light" w:hAnsi="Calibri Light"/>
      <w:i/>
      <w:iCs/>
      <w:caps/>
      <w:color w:val="1F4E79"/>
    </w:rPr>
  </w:style>
  <w:style w:type="paragraph" w:styleId="Heading7">
    <w:name w:val="Heading 7"/>
    <w:basedOn w:val="Normal"/>
    <w:qFormat/>
    <w:rsid w:val="007b6b0e"/>
    <w:pPr>
      <w:keepNext w:val="true"/>
      <w:keepLines/>
      <w:spacing w:before="40" w:after="0"/>
      <w:outlineLvl w:val="6"/>
    </w:pPr>
    <w:rPr>
      <w:rFonts w:ascii="Calibri Light" w:hAnsi="Calibri Light"/>
      <w:b/>
      <w:bCs/>
      <w:color w:val="1F4E79"/>
    </w:rPr>
  </w:style>
  <w:style w:type="paragraph" w:styleId="Heading8">
    <w:name w:val="Heading 8"/>
    <w:basedOn w:val="Normal"/>
    <w:qFormat/>
    <w:rsid w:val="007b6b0e"/>
    <w:pPr>
      <w:keepNext w:val="true"/>
      <w:keepLines/>
      <w:spacing w:before="40" w:after="0"/>
      <w:outlineLvl w:val="7"/>
    </w:pPr>
    <w:rPr>
      <w:rFonts w:ascii="Calibri Light" w:hAnsi="Calibri Light"/>
      <w:b/>
      <w:bCs/>
      <w:i/>
      <w:iCs/>
      <w:color w:val="1F4E79"/>
    </w:rPr>
  </w:style>
  <w:style w:type="paragraph" w:styleId="Heading9">
    <w:name w:val="Heading 9"/>
    <w:basedOn w:val="Normal"/>
    <w:qFormat/>
    <w:rsid w:val="007b6b0e"/>
    <w:pPr>
      <w:keepNext w:val="true"/>
      <w:keepLines/>
      <w:spacing w:before="40" w:after="0"/>
      <w:outlineLvl w:val="8"/>
    </w:pPr>
    <w:rPr>
      <w:rFonts w:ascii="Calibri Light" w:hAnsi="Calibri Light"/>
      <w:i/>
      <w:iCs/>
      <w:color w:val="1F4E79"/>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qFormat/>
    <w:rsid w:val="007b6b0e"/>
    <w:rPr>
      <w:rFonts w:ascii="Verdana" w:hAnsi="Verdana" w:eastAsia="Arial Unicode MS" w:cs="Times New Roman"/>
      <w:bCs/>
      <w:color w:val="000000"/>
      <w:sz w:val="20"/>
    </w:rPr>
  </w:style>
  <w:style w:type="character" w:styleId="Heading1Char" w:customStyle="1">
    <w:name w:val="Heading 1 Char"/>
    <w:basedOn w:val="DefaultParagraphFont"/>
    <w:qFormat/>
    <w:rsid w:val="007b6b0e"/>
    <w:rPr>
      <w:rFonts w:ascii="Calibri Light" w:hAnsi="Calibri Light"/>
      <w:color w:val="1F4E79"/>
      <w:sz w:val="36"/>
      <w:szCs w:val="36"/>
    </w:rPr>
  </w:style>
  <w:style w:type="character" w:styleId="Heading2Char" w:customStyle="1">
    <w:name w:val="Heading 2 Char"/>
    <w:basedOn w:val="DefaultParagraphFont"/>
    <w:qFormat/>
    <w:rsid w:val="007b6b0e"/>
    <w:rPr>
      <w:rFonts w:ascii="Calibri Light" w:hAnsi="Calibri Light"/>
      <w:color w:val="2E74B5"/>
      <w:sz w:val="32"/>
      <w:szCs w:val="32"/>
    </w:rPr>
  </w:style>
  <w:style w:type="character" w:styleId="Heading3Char" w:customStyle="1">
    <w:name w:val="Heading 3 Char"/>
    <w:basedOn w:val="DefaultParagraphFont"/>
    <w:qFormat/>
    <w:rsid w:val="007b6b0e"/>
    <w:rPr>
      <w:rFonts w:ascii="Calibri Light" w:hAnsi="Calibri Light"/>
      <w:color w:val="000000"/>
      <w:sz w:val="28"/>
      <w:szCs w:val="28"/>
    </w:rPr>
  </w:style>
  <w:style w:type="character" w:styleId="Heading4Char" w:customStyle="1">
    <w:name w:val="Heading 4 Char"/>
    <w:basedOn w:val="DefaultParagraphFont"/>
    <w:qFormat/>
    <w:rsid w:val="007b6b0e"/>
    <w:rPr>
      <w:rFonts w:ascii="Calibri Light" w:hAnsi="Calibri Light"/>
      <w:color w:val="2E74B5"/>
      <w:sz w:val="24"/>
      <w:szCs w:val="24"/>
    </w:rPr>
  </w:style>
  <w:style w:type="character" w:styleId="Heading5Char" w:customStyle="1">
    <w:name w:val="Heading 5 Char"/>
    <w:basedOn w:val="DefaultParagraphFont"/>
    <w:qFormat/>
    <w:rsid w:val="007b6b0e"/>
    <w:rPr>
      <w:rFonts w:ascii="Calibri Light" w:hAnsi="Calibri Light"/>
      <w:caps/>
      <w:color w:val="2E74B5"/>
    </w:rPr>
  </w:style>
  <w:style w:type="character" w:styleId="Heading6Char" w:customStyle="1">
    <w:name w:val="Heading 6 Char"/>
    <w:basedOn w:val="DefaultParagraphFont"/>
    <w:qFormat/>
    <w:rsid w:val="007b6b0e"/>
    <w:rPr>
      <w:rFonts w:ascii="Calibri Light" w:hAnsi="Calibri Light"/>
      <w:i/>
      <w:iCs/>
      <w:caps/>
      <w:color w:val="1F4E79"/>
    </w:rPr>
  </w:style>
  <w:style w:type="character" w:styleId="Heading7Char" w:customStyle="1">
    <w:name w:val="Heading 7 Char"/>
    <w:basedOn w:val="DefaultParagraphFont"/>
    <w:qFormat/>
    <w:rsid w:val="007b6b0e"/>
    <w:rPr>
      <w:rFonts w:ascii="Calibri Light" w:hAnsi="Calibri Light"/>
      <w:b/>
      <w:bCs/>
      <w:color w:val="1F4E79"/>
    </w:rPr>
  </w:style>
  <w:style w:type="character" w:styleId="Heading8Char" w:customStyle="1">
    <w:name w:val="Heading 8 Char"/>
    <w:basedOn w:val="DefaultParagraphFont"/>
    <w:qFormat/>
    <w:rsid w:val="007b6b0e"/>
    <w:rPr>
      <w:rFonts w:ascii="Calibri Light" w:hAnsi="Calibri Light"/>
      <w:b/>
      <w:bCs/>
      <w:i/>
      <w:iCs/>
      <w:color w:val="1F4E79"/>
    </w:rPr>
  </w:style>
  <w:style w:type="character" w:styleId="Heading9Char" w:customStyle="1">
    <w:name w:val="Heading 9 Char"/>
    <w:basedOn w:val="DefaultParagraphFont"/>
    <w:qFormat/>
    <w:rsid w:val="007b6b0e"/>
    <w:rPr>
      <w:rFonts w:ascii="Calibri Light" w:hAnsi="Calibri Light"/>
      <w:i/>
      <w:iCs/>
      <w:color w:val="1F4E79"/>
    </w:rPr>
  </w:style>
  <w:style w:type="character" w:styleId="TitleChar" w:customStyle="1">
    <w:name w:val="Title Char"/>
    <w:basedOn w:val="DefaultParagraphFont"/>
    <w:qFormat/>
    <w:rsid w:val="007b6b0e"/>
    <w:rPr>
      <w:rFonts w:ascii="Calibri Light" w:hAnsi="Calibri Light"/>
      <w:caps/>
      <w:color w:val="44546A"/>
      <w:spacing w:val="-15"/>
      <w:sz w:val="72"/>
      <w:szCs w:val="72"/>
    </w:rPr>
  </w:style>
  <w:style w:type="character" w:styleId="SubtitleChar" w:customStyle="1">
    <w:name w:val="Subtitle Char"/>
    <w:basedOn w:val="DefaultParagraphFont"/>
    <w:qFormat/>
    <w:rsid w:val="007b6b0e"/>
    <w:rPr>
      <w:rFonts w:ascii="Calibri Light" w:hAnsi="Calibri Light"/>
      <w:color w:val="5B9BD5"/>
      <w:sz w:val="28"/>
      <w:szCs w:val="28"/>
    </w:rPr>
  </w:style>
  <w:style w:type="character" w:styleId="StrongEmphasis" w:customStyle="1">
    <w:name w:val="Strong Emphasis"/>
    <w:basedOn w:val="DefaultParagraphFont"/>
    <w:qFormat/>
    <w:rsid w:val="007b6b0e"/>
    <w:rPr>
      <w:b/>
      <w:bCs/>
    </w:rPr>
  </w:style>
  <w:style w:type="character" w:styleId="Emphasis">
    <w:name w:val="Emphasis"/>
    <w:basedOn w:val="DefaultParagraphFont"/>
    <w:qFormat/>
    <w:rsid w:val="007b6b0e"/>
    <w:rPr>
      <w:i/>
      <w:iCs/>
    </w:rPr>
  </w:style>
  <w:style w:type="character" w:styleId="QuoteChar" w:customStyle="1">
    <w:name w:val="Quote Char"/>
    <w:basedOn w:val="DefaultParagraphFont"/>
    <w:qFormat/>
    <w:rsid w:val="007b6b0e"/>
    <w:rPr>
      <w:color w:val="44546A"/>
      <w:sz w:val="24"/>
      <w:szCs w:val="24"/>
    </w:rPr>
  </w:style>
  <w:style w:type="character" w:styleId="IntenseQuoteChar" w:customStyle="1">
    <w:name w:val="Intense Quote Char"/>
    <w:basedOn w:val="DefaultParagraphFont"/>
    <w:qFormat/>
    <w:rsid w:val="007b6b0e"/>
    <w:rPr>
      <w:rFonts w:ascii="Calibri Light" w:hAnsi="Calibri Light"/>
      <w:color w:val="44546A"/>
      <w:spacing w:val="-6"/>
      <w:sz w:val="32"/>
      <w:szCs w:val="32"/>
    </w:rPr>
  </w:style>
  <w:style w:type="character" w:styleId="SubtleEmphasis">
    <w:name w:val="Subtle Emphasis"/>
    <w:basedOn w:val="DefaultParagraphFont"/>
    <w:qFormat/>
    <w:rsid w:val="007b6b0e"/>
    <w:rPr>
      <w:i/>
      <w:iCs/>
      <w:color w:val="595959"/>
    </w:rPr>
  </w:style>
  <w:style w:type="character" w:styleId="IntenseEmphasis">
    <w:name w:val="Intense Emphasis"/>
    <w:basedOn w:val="DefaultParagraphFont"/>
    <w:qFormat/>
    <w:rsid w:val="007b6b0e"/>
    <w:rPr>
      <w:b/>
      <w:bCs/>
      <w:i/>
      <w:iCs/>
    </w:rPr>
  </w:style>
  <w:style w:type="character" w:styleId="SubtleReference">
    <w:name w:val="Subtle Reference"/>
    <w:basedOn w:val="DefaultParagraphFont"/>
    <w:qFormat/>
    <w:rsid w:val="007b6b0e"/>
    <w:rPr>
      <w:smallCaps/>
      <w:color w:val="595959"/>
      <w:u w:val="none"/>
    </w:rPr>
  </w:style>
  <w:style w:type="character" w:styleId="IntenseReference">
    <w:name w:val="Intense Reference"/>
    <w:basedOn w:val="DefaultParagraphFont"/>
    <w:qFormat/>
    <w:rsid w:val="007b6b0e"/>
    <w:rPr>
      <w:b/>
      <w:bCs/>
      <w:smallCaps/>
      <w:color w:val="44546A"/>
      <w:u w:val="single"/>
    </w:rPr>
  </w:style>
  <w:style w:type="character" w:styleId="BookTitle">
    <w:name w:val="Book Title"/>
    <w:basedOn w:val="DefaultParagraphFont"/>
    <w:qFormat/>
    <w:rsid w:val="007b6b0e"/>
    <w:rPr>
      <w:b/>
      <w:bCs/>
      <w:smallCaps/>
      <w:spacing w:val="10"/>
    </w:rPr>
  </w:style>
  <w:style w:type="character" w:styleId="Bullet2Char" w:customStyle="1">
    <w:name w:val="Bullet 2 Char"/>
    <w:basedOn w:val="DefaultParagraphFont"/>
    <w:qFormat/>
    <w:rsid w:val="007b6b0e"/>
    <w:rPr>
      <w:rFonts w:ascii="Verdana" w:hAnsi="Verdana" w:eastAsia="Times New Roman" w:cs="Times New Roman"/>
      <w:color w:val="000000"/>
      <w:sz w:val="20"/>
    </w:rPr>
  </w:style>
  <w:style w:type="character" w:styleId="Bullet3Char" w:customStyle="1">
    <w:name w:val="Bullet 3 Char"/>
    <w:basedOn w:val="DefaultParagraphFont"/>
    <w:qFormat/>
    <w:rsid w:val="007b6b0e"/>
    <w:rPr>
      <w:rFonts w:ascii="Verdana" w:hAnsi="Verdana" w:eastAsia="Times New Roman" w:cs="Times New Roman"/>
      <w:color w:val="000000"/>
      <w:sz w:val="20"/>
    </w:rPr>
  </w:style>
  <w:style w:type="character" w:styleId="InternetLink" w:customStyle="1">
    <w:name w:val="Hyperlink"/>
    <w:basedOn w:val="DefaultParagraphFont"/>
    <w:rsid w:val="007b6b0e"/>
    <w:rPr>
      <w:color w:val="0000FF"/>
      <w:u w:val="single"/>
    </w:rPr>
  </w:style>
  <w:style w:type="character" w:styleId="Bullets" w:customStyle="1">
    <w:name w:val="Bullets"/>
    <w:qFormat/>
    <w:rsid w:val="007b6b0e"/>
    <w:rPr>
      <w:rFonts w:ascii="OpenSymbol" w:hAnsi="OpenSymbol" w:eastAsia="OpenSymbol" w:cs="OpenSymbol"/>
    </w:rPr>
  </w:style>
  <w:style w:type="paragraph" w:styleId="Heading" w:customStyle="1">
    <w:name w:val="Heading"/>
    <w:basedOn w:val="Normal"/>
    <w:next w:val="TextBody"/>
    <w:qFormat/>
    <w:rsid w:val="007b6b0e"/>
    <w:pPr>
      <w:keepNext w:val="true"/>
      <w:spacing w:before="240" w:after="120"/>
    </w:pPr>
    <w:rPr>
      <w:rFonts w:ascii="Arial" w:hAnsi="Arial" w:cs="Lohit Hindi"/>
      <w:sz w:val="28"/>
      <w:szCs w:val="28"/>
    </w:rPr>
  </w:style>
  <w:style w:type="paragraph" w:styleId="TextBody" w:customStyle="1">
    <w:name w:val="Body Text"/>
    <w:basedOn w:val="Normal"/>
    <w:rsid w:val="007b6b0e"/>
    <w:pPr>
      <w:spacing w:lineRule="atLeast" w:line="100" w:before="0" w:after="200"/>
    </w:pPr>
    <w:rPr>
      <w:rFonts w:ascii="Verdana" w:hAnsi="Verdana" w:eastAsia="Arial Unicode MS" w:cs="Times New Roman"/>
      <w:bCs/>
      <w:color w:val="000000"/>
      <w:sz w:val="20"/>
    </w:rPr>
  </w:style>
  <w:style w:type="paragraph" w:styleId="List">
    <w:name w:val="List"/>
    <w:basedOn w:val="TextBody"/>
    <w:rsid w:val="007b6b0e"/>
    <w:pPr/>
    <w:rPr>
      <w:rFonts w:cs="Lohit Hind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7b6b0e"/>
    <w:pPr>
      <w:suppressLineNumbers/>
    </w:pPr>
    <w:rPr>
      <w:rFonts w:cs="Lohit Hindi"/>
    </w:rPr>
  </w:style>
  <w:style w:type="paragraph" w:styleId="Caption1">
    <w:name w:val="caption"/>
    <w:basedOn w:val="Normal"/>
    <w:qFormat/>
    <w:rsid w:val="007b6b0e"/>
    <w:pPr>
      <w:spacing w:lineRule="atLeast" w:line="100"/>
    </w:pPr>
    <w:rPr>
      <w:b/>
      <w:bCs/>
      <w:smallCaps/>
      <w:color w:val="44546A"/>
    </w:rPr>
  </w:style>
  <w:style w:type="paragraph" w:styleId="TableText" w:customStyle="1">
    <w:name w:val="Table Text"/>
    <w:qFormat/>
    <w:rsid w:val="007b6b0e"/>
    <w:pPr>
      <w:widowControl/>
      <w:tabs>
        <w:tab w:val="clear" w:pos="720"/>
        <w:tab w:val="right" w:pos="7920" w:leader="dot"/>
      </w:tabs>
      <w:suppressAutoHyphens w:val="true"/>
      <w:bidi w:val="0"/>
      <w:spacing w:lineRule="atLeast" w:line="100" w:before="60" w:after="60"/>
      <w:jc w:val="left"/>
    </w:pPr>
    <w:rPr>
      <w:rFonts w:ascii="Verdana" w:hAnsi="Verdana" w:eastAsia="Arial Unicode MS" w:cs="Times"/>
      <w:color w:val="000000"/>
      <w:kern w:val="0"/>
      <w:sz w:val="18"/>
      <w:szCs w:val="20"/>
      <w:lang w:val="en-US" w:eastAsia="en-US" w:bidi="ar-SA"/>
    </w:rPr>
  </w:style>
  <w:style w:type="paragraph" w:styleId="Title">
    <w:name w:val="Title"/>
    <w:basedOn w:val="Normal"/>
    <w:qFormat/>
    <w:rsid w:val="007b6b0e"/>
    <w:pPr>
      <w:spacing w:lineRule="auto" w:line="204" w:before="0" w:after="0"/>
      <w:contextualSpacing/>
    </w:pPr>
    <w:rPr>
      <w:rFonts w:ascii="Calibri Light" w:hAnsi="Calibri Light"/>
      <w:caps/>
      <w:color w:val="44546A"/>
      <w:spacing w:val="-15"/>
      <w:sz w:val="72"/>
      <w:szCs w:val="72"/>
    </w:rPr>
  </w:style>
  <w:style w:type="paragraph" w:styleId="Subtitle">
    <w:name w:val="Subtitle"/>
    <w:basedOn w:val="Normal"/>
    <w:qFormat/>
    <w:rsid w:val="007b6b0e"/>
    <w:pPr>
      <w:spacing w:lineRule="atLeast" w:line="100" w:before="0" w:after="240"/>
    </w:pPr>
    <w:rPr>
      <w:rFonts w:ascii="Calibri Light" w:hAnsi="Calibri Light"/>
      <w:color w:val="5B9BD5"/>
      <w:sz w:val="28"/>
      <w:szCs w:val="28"/>
    </w:rPr>
  </w:style>
  <w:style w:type="paragraph" w:styleId="NoSpacing">
    <w:name w:val="No Spacing"/>
    <w:qFormat/>
    <w:rsid w:val="007b6b0e"/>
    <w:pPr>
      <w:widowControl/>
      <w:suppressAutoHyphens w:val="true"/>
      <w:bidi w:val="0"/>
      <w:spacing w:lineRule="atLeast" w:line="100" w:before="0" w:after="0"/>
      <w:jc w:val="left"/>
    </w:pPr>
    <w:rPr>
      <w:rFonts w:ascii="Calibri" w:hAnsi="Calibri" w:eastAsia="DejaVu Sans" w:cs="" w:asciiTheme="minorHAnsi" w:cstheme="minorBidi" w:hAnsiTheme="minorHAnsi"/>
      <w:color w:val="auto"/>
      <w:kern w:val="0"/>
      <w:sz w:val="22"/>
      <w:szCs w:val="22"/>
      <w:lang w:val="en-US" w:eastAsia="en-US" w:bidi="ar-SA"/>
    </w:rPr>
  </w:style>
  <w:style w:type="paragraph" w:styleId="Quote">
    <w:name w:val="Quote"/>
    <w:basedOn w:val="Normal"/>
    <w:qFormat/>
    <w:rsid w:val="007b6b0e"/>
    <w:pPr>
      <w:spacing w:before="120" w:after="120"/>
      <w:ind w:left="720" w:hanging="0"/>
    </w:pPr>
    <w:rPr>
      <w:color w:val="44546A"/>
      <w:sz w:val="24"/>
      <w:szCs w:val="24"/>
    </w:rPr>
  </w:style>
  <w:style w:type="paragraph" w:styleId="IntenseQuote">
    <w:name w:val="Intense Quote"/>
    <w:basedOn w:val="Normal"/>
    <w:qFormat/>
    <w:rsid w:val="007b6b0e"/>
    <w:pPr>
      <w:spacing w:lineRule="atLeast" w:line="100" w:before="100" w:after="240"/>
      <w:ind w:left="720" w:hanging="0"/>
      <w:jc w:val="center"/>
    </w:pPr>
    <w:rPr>
      <w:rFonts w:ascii="Calibri Light" w:hAnsi="Calibri Light"/>
      <w:color w:val="44546A"/>
      <w:spacing w:val="-6"/>
      <w:sz w:val="32"/>
      <w:szCs w:val="32"/>
    </w:rPr>
  </w:style>
  <w:style w:type="paragraph" w:styleId="IndexHeading">
    <w:name w:val="Index Heading"/>
    <w:basedOn w:val="Heading"/>
    <w:pPr/>
    <w:rPr/>
  </w:style>
  <w:style w:type="paragraph" w:styleId="TOAHeading" w:customStyle="1">
    <w:name w:val="TOA Heading"/>
    <w:basedOn w:val="Heading1"/>
    <w:qFormat/>
    <w:rsid w:val="007b6b0e"/>
    <w:pPr/>
    <w:rPr/>
  </w:style>
  <w:style w:type="paragraph" w:styleId="ListParagraph">
    <w:name w:val="List Paragraph"/>
    <w:basedOn w:val="Normal"/>
    <w:qFormat/>
    <w:rsid w:val="007b6b0e"/>
    <w:pPr>
      <w:spacing w:lineRule="atLeast" w:line="100" w:before="0" w:after="0"/>
      <w:ind w:left="720" w:hanging="0"/>
      <w:contextualSpacing/>
    </w:pPr>
    <w:rPr>
      <w:rFonts w:ascii="Arial" w:hAnsi="Arial" w:eastAsia="Arial Unicode MS" w:cs="Times New Roman"/>
      <w:color w:val="000000"/>
    </w:rPr>
  </w:style>
  <w:style w:type="paragraph" w:styleId="TableBullet" w:customStyle="1">
    <w:name w:val="Table Bullet"/>
    <w:qFormat/>
    <w:rsid w:val="007b6b0e"/>
    <w:pPr>
      <w:widowControl/>
      <w:suppressAutoHyphens w:val="true"/>
      <w:bidi w:val="0"/>
      <w:spacing w:lineRule="atLeast" w:line="100" w:before="60" w:after="60"/>
      <w:jc w:val="left"/>
    </w:pPr>
    <w:rPr>
      <w:rFonts w:ascii="Verdana" w:hAnsi="Verdana" w:eastAsia="Times New Roman" w:cs="Times New Roman"/>
      <w:color w:val="000000"/>
      <w:kern w:val="0"/>
      <w:sz w:val="18"/>
      <w:szCs w:val="18"/>
      <w:lang w:val="en-US" w:eastAsia="en-US" w:bidi="ar-SA"/>
    </w:rPr>
  </w:style>
  <w:style w:type="paragraph" w:styleId="TableBulletNumbered" w:customStyle="1">
    <w:name w:val="Table Bullet Numbered"/>
    <w:qFormat/>
    <w:rsid w:val="007b6b0e"/>
    <w:pPr>
      <w:widowControl/>
      <w:tabs>
        <w:tab w:val="left" w:pos="720" w:leader="none"/>
      </w:tabs>
      <w:suppressAutoHyphens w:val="true"/>
      <w:bidi w:val="0"/>
      <w:spacing w:lineRule="atLeast" w:line="100" w:before="60" w:after="60"/>
      <w:ind w:left="720" w:hanging="360"/>
      <w:jc w:val="both"/>
    </w:pPr>
    <w:rPr>
      <w:rFonts w:ascii="Verdana" w:hAnsi="Verdana" w:eastAsia="Times New Roman" w:cs="Times New Roman"/>
      <w:color w:val="000000"/>
      <w:kern w:val="0"/>
      <w:sz w:val="18"/>
      <w:szCs w:val="18"/>
      <w:lang w:val="en-US" w:eastAsia="en-US" w:bidi="ar-SA"/>
    </w:rPr>
  </w:style>
  <w:style w:type="paragraph" w:styleId="Bullet2" w:customStyle="1">
    <w:name w:val="Bullet 2"/>
    <w:qFormat/>
    <w:rsid w:val="007b6b0e"/>
    <w:pPr>
      <w:widowControl/>
      <w:tabs>
        <w:tab w:val="clear" w:pos="720"/>
        <w:tab w:val="left" w:pos="1440" w:leader="none"/>
      </w:tabs>
      <w:suppressAutoHyphens w:val="true"/>
      <w:bidi w:val="0"/>
      <w:spacing w:lineRule="atLeast" w:line="100" w:before="0" w:after="100"/>
      <w:ind w:left="720" w:hanging="0"/>
      <w:jc w:val="left"/>
    </w:pPr>
    <w:rPr>
      <w:rFonts w:ascii="Verdana" w:hAnsi="Verdana" w:eastAsia="Times New Roman" w:cs="Times New Roman"/>
      <w:color w:val="000000"/>
      <w:kern w:val="0"/>
      <w:sz w:val="20"/>
      <w:szCs w:val="22"/>
      <w:lang w:val="en-US" w:eastAsia="en-US" w:bidi="ar-SA"/>
    </w:rPr>
  </w:style>
  <w:style w:type="paragraph" w:styleId="TableTextBold" w:customStyle="1">
    <w:name w:val="Table Text Bold"/>
    <w:basedOn w:val="Normal"/>
    <w:qFormat/>
    <w:rsid w:val="007b6b0e"/>
    <w:pPr>
      <w:tabs>
        <w:tab w:val="clear" w:pos="720"/>
        <w:tab w:val="left" w:pos="1512" w:leader="none"/>
        <w:tab w:val="left" w:pos="2172" w:leader="none"/>
      </w:tabs>
      <w:spacing w:lineRule="atLeast" w:line="100" w:before="60" w:after="60"/>
    </w:pPr>
    <w:rPr>
      <w:rFonts w:ascii="Verdana" w:hAnsi="Verdana" w:eastAsia="Arial Unicode MS" w:cs="Times New Roman"/>
      <w:b/>
      <w:color w:val="000000"/>
      <w:sz w:val="18"/>
    </w:rPr>
  </w:style>
  <w:style w:type="paragraph" w:styleId="Bullet3" w:customStyle="1">
    <w:name w:val="Bullet 3"/>
    <w:qFormat/>
    <w:rsid w:val="007b6b0e"/>
    <w:pPr>
      <w:widowControl/>
      <w:suppressAutoHyphens w:val="true"/>
      <w:bidi w:val="0"/>
      <w:spacing w:lineRule="atLeast" w:line="100" w:before="0" w:after="200"/>
      <w:jc w:val="left"/>
    </w:pPr>
    <w:rPr>
      <w:rFonts w:ascii="Verdana" w:hAnsi="Verdana" w:eastAsia="Times New Roman" w:cs="Times New Roman"/>
      <w:color w:val="000000"/>
      <w:kern w:val="0"/>
      <w:sz w:val="20"/>
      <w:szCs w:val="22"/>
      <w:lang w:val="en-US" w:eastAsia="en-US" w:bidi="ar-SA"/>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heodore.zacharia@btinternet.com" TargetMode="External"/><Relationship Id="rId3" Type="http://schemas.openxmlformats.org/officeDocument/2006/relationships/hyperlink" Target="http://www.theodorezacharia.pwp.blueyonder.co.uk/aboutme/cv.htm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Application>LibreOffice/6.4.7.2$Linux_X86_64 LibreOffice_project/40$Build-2</Application>
  <Pages>4</Pages>
  <Words>1640</Words>
  <Characters>9502</Characters>
  <CharactersWithSpaces>11020</CharactersWithSpaces>
  <Paragraphs>116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2014-04-07T21:23:00Z</dcterms:created>
  <dc:creator>Theodore Zacharia</dc:creator>
  <dc:description/>
  <dc:language>en-GB</dc:language>
  <cp:lastModifiedBy/>
  <dcterms:modified xsi:type="dcterms:W3CDTF">2024-11-22T16:09:40Z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